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E15" w:rsidRPr="007A6E15" w:rsidRDefault="00447F45" w:rsidP="007A6E15">
      <w:pPr>
        <w:pStyle w:val="Heading1"/>
      </w:pPr>
      <w:r>
        <w:t xml:space="preserve">Syllabus PH </w:t>
      </w:r>
      <w:r w:rsidR="00A93C10">
        <w:t>5030</w:t>
      </w:r>
      <w:r>
        <w:t xml:space="preserve"> Diabetes Seminar</w:t>
      </w:r>
    </w:p>
    <w:p w:rsidR="00587FFB" w:rsidRDefault="00587FFB"/>
    <w:tbl>
      <w:tblPr>
        <w:tblW w:w="9270" w:type="dxa"/>
        <w:tblInd w:w="-1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995"/>
        <w:gridCol w:w="7275"/>
      </w:tblGrid>
      <w:tr w:rsidR="00587FFB" w:rsidTr="00E000E7">
        <w:tc>
          <w:tcPr>
            <w:tcW w:w="1995" w:type="dxa"/>
            <w:shd w:val="clear" w:color="auto" w:fill="262626"/>
          </w:tcPr>
          <w:p w:rsidR="00587FFB" w:rsidRDefault="00587FFB">
            <w:pPr>
              <w:jc w:val="center"/>
            </w:pPr>
            <w:r>
              <w:t>Feature</w:t>
            </w:r>
          </w:p>
        </w:tc>
        <w:tc>
          <w:tcPr>
            <w:tcW w:w="7275" w:type="dxa"/>
            <w:shd w:val="clear" w:color="auto" w:fill="262626"/>
          </w:tcPr>
          <w:p w:rsidR="00587FFB" w:rsidRDefault="00587FFB">
            <w:pPr>
              <w:jc w:val="center"/>
            </w:pPr>
            <w:r>
              <w:t>Considerations</w:t>
            </w:r>
          </w:p>
        </w:tc>
      </w:tr>
      <w:tr w:rsidR="00E000E7" w:rsidTr="007A0241">
        <w:trPr>
          <w:cantSplit/>
          <w:trHeight w:val="173"/>
        </w:trPr>
        <w:tc>
          <w:tcPr>
            <w:tcW w:w="1995" w:type="dxa"/>
            <w:vMerge w:val="restart"/>
          </w:tcPr>
          <w:p w:rsidR="00E000E7" w:rsidRPr="007A5A95" w:rsidRDefault="00E000E7">
            <w:pPr>
              <w:jc w:val="both"/>
              <w:rPr>
                <w:b/>
              </w:rPr>
            </w:pPr>
            <w:r w:rsidRPr="007A5A95">
              <w:rPr>
                <w:b/>
              </w:rPr>
              <w:t>Instructor Information</w:t>
            </w:r>
          </w:p>
          <w:p w:rsidR="00E000E7" w:rsidRDefault="00E000E7" w:rsidP="00795C86"/>
        </w:tc>
        <w:tc>
          <w:tcPr>
            <w:tcW w:w="7275" w:type="dxa"/>
            <w:shd w:val="clear" w:color="auto" w:fill="auto"/>
          </w:tcPr>
          <w:p w:rsidR="00E000E7" w:rsidRPr="008360FB" w:rsidRDefault="00487B6E" w:rsidP="00824F7E">
            <w:pPr>
              <w:numPr>
                <w:ilvl w:val="0"/>
                <w:numId w:val="1"/>
              </w:numPr>
            </w:pPr>
            <w:r w:rsidRPr="008360FB">
              <w:t>Laura S. Moore MEd, RD, LD/ Jeanne M. Piga-Plunkett MS, RD, LD</w:t>
            </w:r>
            <w:r w:rsidR="00960A79">
              <w:t>/Shannon Weston MPH, RD, LD, CDE</w:t>
            </w:r>
          </w:p>
        </w:tc>
      </w:tr>
      <w:tr w:rsidR="00E000E7" w:rsidTr="007A0241">
        <w:trPr>
          <w:cantSplit/>
          <w:trHeight w:val="172"/>
        </w:trPr>
        <w:tc>
          <w:tcPr>
            <w:tcW w:w="1995" w:type="dxa"/>
            <w:vMerge/>
          </w:tcPr>
          <w:p w:rsidR="00E000E7" w:rsidRDefault="00E000E7">
            <w:pPr>
              <w:jc w:val="both"/>
            </w:pPr>
          </w:p>
        </w:tc>
        <w:tc>
          <w:tcPr>
            <w:tcW w:w="7275" w:type="dxa"/>
            <w:shd w:val="clear" w:color="auto" w:fill="auto"/>
          </w:tcPr>
          <w:p w:rsidR="00971809" w:rsidRPr="00971809" w:rsidRDefault="00971809">
            <w:pPr>
              <w:numPr>
                <w:ilvl w:val="0"/>
                <w:numId w:val="1"/>
              </w:numPr>
              <w:rPr>
                <w:rStyle w:val="Hyperlink"/>
                <w:color w:val="auto"/>
                <w:u w:val="none"/>
              </w:rPr>
            </w:pPr>
            <w:hyperlink r:id="rId8" w:history="1">
              <w:r w:rsidR="00487B6E" w:rsidRPr="008360FB">
                <w:rPr>
                  <w:rStyle w:val="Hyperlink"/>
                </w:rPr>
                <w:t>Laura.s.moore@uth.tmc.edu</w:t>
              </w:r>
            </w:hyperlink>
          </w:p>
          <w:p w:rsidR="00E000E7" w:rsidRPr="008360FB" w:rsidRDefault="00487B6E">
            <w:pPr>
              <w:numPr>
                <w:ilvl w:val="0"/>
                <w:numId w:val="1"/>
              </w:numPr>
            </w:pPr>
            <w:r w:rsidRPr="008360FB">
              <w:t xml:space="preserve"> </w:t>
            </w:r>
            <w:hyperlink r:id="rId9" w:history="1">
              <w:r w:rsidRPr="008360FB">
                <w:rPr>
                  <w:rStyle w:val="Hyperlink"/>
                </w:rPr>
                <w:t>Jeanne.m.pigaplunkett@uth.tmc.edu</w:t>
              </w:r>
            </w:hyperlink>
            <w:r w:rsidRPr="008360FB">
              <w:t xml:space="preserve"> </w:t>
            </w:r>
            <w:hyperlink r:id="rId10" w:history="1">
              <w:r w:rsidR="00960A79" w:rsidRPr="002F1E7C">
                <w:rPr>
                  <w:rStyle w:val="Hyperlink"/>
                </w:rPr>
                <w:t>Shannon.R.Weston@uth.tmc.edu</w:t>
              </w:r>
            </w:hyperlink>
            <w:r w:rsidR="00960A79">
              <w:t xml:space="preserve"> </w:t>
            </w:r>
          </w:p>
        </w:tc>
      </w:tr>
      <w:tr w:rsidR="00E000E7" w:rsidTr="00601035">
        <w:trPr>
          <w:cantSplit/>
          <w:trHeight w:val="402"/>
        </w:trPr>
        <w:tc>
          <w:tcPr>
            <w:tcW w:w="1995" w:type="dxa"/>
            <w:vMerge/>
          </w:tcPr>
          <w:p w:rsidR="00E000E7" w:rsidRDefault="00E000E7">
            <w:pPr>
              <w:jc w:val="both"/>
            </w:pPr>
          </w:p>
        </w:tc>
        <w:tc>
          <w:tcPr>
            <w:tcW w:w="7275" w:type="dxa"/>
            <w:shd w:val="clear" w:color="auto" w:fill="auto"/>
          </w:tcPr>
          <w:p w:rsidR="00E000E7" w:rsidRPr="008360FB" w:rsidRDefault="00487B6E">
            <w:pPr>
              <w:numPr>
                <w:ilvl w:val="0"/>
                <w:numId w:val="1"/>
              </w:numPr>
            </w:pPr>
            <w:r w:rsidRPr="008360FB">
              <w:t>713-500-9347 / 713-500-9346</w:t>
            </w:r>
            <w:r w:rsidR="00960A79">
              <w:t xml:space="preserve"> / 713-500-9327</w:t>
            </w:r>
          </w:p>
        </w:tc>
      </w:tr>
      <w:tr w:rsidR="00E000E7" w:rsidTr="007A0241">
        <w:trPr>
          <w:cantSplit/>
          <w:trHeight w:val="357"/>
        </w:trPr>
        <w:tc>
          <w:tcPr>
            <w:tcW w:w="1995" w:type="dxa"/>
            <w:vMerge/>
          </w:tcPr>
          <w:p w:rsidR="00E000E7" w:rsidRDefault="00E000E7">
            <w:pPr>
              <w:jc w:val="both"/>
            </w:pPr>
          </w:p>
        </w:tc>
        <w:tc>
          <w:tcPr>
            <w:tcW w:w="7275" w:type="dxa"/>
            <w:shd w:val="clear" w:color="auto" w:fill="auto"/>
          </w:tcPr>
          <w:p w:rsidR="00E000E7" w:rsidRDefault="00971809">
            <w:pPr>
              <w:numPr>
                <w:ilvl w:val="0"/>
                <w:numId w:val="1"/>
              </w:numPr>
            </w:pPr>
            <w:r>
              <w:t>E 1009</w:t>
            </w:r>
          </w:p>
          <w:p w:rsidR="00971809" w:rsidRDefault="00971809">
            <w:pPr>
              <w:numPr>
                <w:ilvl w:val="0"/>
                <w:numId w:val="1"/>
              </w:numPr>
            </w:pPr>
            <w:r>
              <w:t>E 1005</w:t>
            </w:r>
          </w:p>
          <w:p w:rsidR="00971809" w:rsidRPr="008360FB" w:rsidRDefault="00971809">
            <w:pPr>
              <w:numPr>
                <w:ilvl w:val="0"/>
                <w:numId w:val="1"/>
              </w:numPr>
            </w:pPr>
            <w:r>
              <w:t>E 1013</w:t>
            </w:r>
            <w:bookmarkStart w:id="0" w:name="_GoBack"/>
            <w:bookmarkEnd w:id="0"/>
          </w:p>
        </w:tc>
      </w:tr>
      <w:tr w:rsidR="00E000E7" w:rsidTr="00B43D8E">
        <w:trPr>
          <w:cantSplit/>
          <w:trHeight w:val="357"/>
        </w:trPr>
        <w:tc>
          <w:tcPr>
            <w:tcW w:w="1995" w:type="dxa"/>
            <w:vMerge/>
          </w:tcPr>
          <w:p w:rsidR="00E000E7" w:rsidRDefault="00E000E7">
            <w:pPr>
              <w:jc w:val="both"/>
            </w:pPr>
          </w:p>
        </w:tc>
        <w:tc>
          <w:tcPr>
            <w:tcW w:w="7275" w:type="dxa"/>
            <w:shd w:val="clear" w:color="auto" w:fill="auto"/>
          </w:tcPr>
          <w:p w:rsidR="00E000E7" w:rsidRPr="008360FB" w:rsidRDefault="00487B6E" w:rsidP="00795C86">
            <w:pPr>
              <w:numPr>
                <w:ilvl w:val="0"/>
                <w:numId w:val="1"/>
              </w:numPr>
            </w:pPr>
            <w:r w:rsidRPr="008360FB">
              <w:t>Office Hours – By appointment</w:t>
            </w:r>
          </w:p>
        </w:tc>
      </w:tr>
      <w:tr w:rsidR="00601035" w:rsidTr="007A0241">
        <w:trPr>
          <w:cantSplit/>
          <w:trHeight w:val="210"/>
        </w:trPr>
        <w:tc>
          <w:tcPr>
            <w:tcW w:w="1995" w:type="dxa"/>
            <w:vMerge w:val="restart"/>
          </w:tcPr>
          <w:p w:rsidR="00601035" w:rsidRPr="007A5A95" w:rsidRDefault="00601035">
            <w:pPr>
              <w:jc w:val="both"/>
              <w:rPr>
                <w:b/>
              </w:rPr>
            </w:pPr>
            <w:r w:rsidRPr="007A5A95">
              <w:rPr>
                <w:b/>
              </w:rPr>
              <w:t>Course Description</w:t>
            </w:r>
          </w:p>
        </w:tc>
        <w:tc>
          <w:tcPr>
            <w:tcW w:w="7275" w:type="dxa"/>
            <w:shd w:val="clear" w:color="auto" w:fill="auto"/>
          </w:tcPr>
          <w:p w:rsidR="00601035" w:rsidRPr="008360FB" w:rsidRDefault="00601035">
            <w:pPr>
              <w:numPr>
                <w:ilvl w:val="0"/>
                <w:numId w:val="1"/>
              </w:numPr>
            </w:pPr>
            <w:r w:rsidRPr="008360FB">
              <w:t>PH 9997-870 Diabetes Seminar</w:t>
            </w:r>
          </w:p>
        </w:tc>
      </w:tr>
      <w:tr w:rsidR="00601035" w:rsidTr="007A0241">
        <w:trPr>
          <w:cantSplit/>
          <w:trHeight w:val="210"/>
        </w:trPr>
        <w:tc>
          <w:tcPr>
            <w:tcW w:w="1995" w:type="dxa"/>
            <w:vMerge/>
          </w:tcPr>
          <w:p w:rsidR="00601035" w:rsidRDefault="00601035">
            <w:pPr>
              <w:jc w:val="both"/>
            </w:pPr>
          </w:p>
        </w:tc>
        <w:tc>
          <w:tcPr>
            <w:tcW w:w="7275" w:type="dxa"/>
            <w:shd w:val="clear" w:color="auto" w:fill="auto"/>
          </w:tcPr>
          <w:p w:rsidR="00601035" w:rsidRPr="008360FB" w:rsidRDefault="00601035" w:rsidP="00960A79">
            <w:pPr>
              <w:numPr>
                <w:ilvl w:val="0"/>
                <w:numId w:val="1"/>
              </w:numPr>
            </w:pPr>
            <w:r w:rsidRPr="008360FB">
              <w:t>Summer 201</w:t>
            </w:r>
            <w:r w:rsidR="00A80DE7">
              <w:t>9</w:t>
            </w:r>
          </w:p>
        </w:tc>
      </w:tr>
      <w:tr w:rsidR="00601035" w:rsidTr="007A0241">
        <w:trPr>
          <w:cantSplit/>
          <w:trHeight w:val="330"/>
        </w:trPr>
        <w:tc>
          <w:tcPr>
            <w:tcW w:w="1995" w:type="dxa"/>
            <w:vMerge/>
          </w:tcPr>
          <w:p w:rsidR="00601035" w:rsidRDefault="00601035">
            <w:pPr>
              <w:jc w:val="both"/>
            </w:pPr>
          </w:p>
        </w:tc>
        <w:tc>
          <w:tcPr>
            <w:tcW w:w="7275" w:type="dxa"/>
            <w:shd w:val="clear" w:color="auto" w:fill="auto"/>
          </w:tcPr>
          <w:p w:rsidR="00601035" w:rsidRPr="008360FB" w:rsidRDefault="00601035">
            <w:pPr>
              <w:numPr>
                <w:ilvl w:val="0"/>
                <w:numId w:val="1"/>
              </w:numPr>
            </w:pPr>
            <w:r w:rsidRPr="008360FB">
              <w:t>2 credit hour</w:t>
            </w:r>
          </w:p>
        </w:tc>
      </w:tr>
      <w:tr w:rsidR="00601035" w:rsidTr="007A0241">
        <w:trPr>
          <w:cantSplit/>
          <w:trHeight w:val="402"/>
        </w:trPr>
        <w:tc>
          <w:tcPr>
            <w:tcW w:w="1995" w:type="dxa"/>
            <w:vMerge/>
          </w:tcPr>
          <w:p w:rsidR="00601035" w:rsidRDefault="00601035">
            <w:pPr>
              <w:jc w:val="both"/>
            </w:pPr>
          </w:p>
        </w:tc>
        <w:tc>
          <w:tcPr>
            <w:tcW w:w="7275" w:type="dxa"/>
            <w:shd w:val="clear" w:color="auto" w:fill="auto"/>
          </w:tcPr>
          <w:p w:rsidR="00601035" w:rsidRPr="008360FB" w:rsidRDefault="00601035">
            <w:pPr>
              <w:numPr>
                <w:ilvl w:val="0"/>
                <w:numId w:val="1"/>
              </w:numPr>
            </w:pPr>
            <w:r w:rsidRPr="008360FB">
              <w:t>Face to Face; Canvas</w:t>
            </w:r>
          </w:p>
        </w:tc>
      </w:tr>
      <w:tr w:rsidR="00601035" w:rsidTr="007A0241">
        <w:trPr>
          <w:cantSplit/>
          <w:trHeight w:val="570"/>
        </w:trPr>
        <w:tc>
          <w:tcPr>
            <w:tcW w:w="1995" w:type="dxa"/>
            <w:vMerge/>
          </w:tcPr>
          <w:p w:rsidR="00601035" w:rsidRDefault="00601035">
            <w:pPr>
              <w:jc w:val="both"/>
            </w:pPr>
          </w:p>
        </w:tc>
        <w:tc>
          <w:tcPr>
            <w:tcW w:w="7275" w:type="dxa"/>
            <w:shd w:val="clear" w:color="auto" w:fill="auto"/>
          </w:tcPr>
          <w:p w:rsidR="00601035" w:rsidRPr="008360FB" w:rsidRDefault="00601035" w:rsidP="00B64B13">
            <w:r w:rsidRPr="008360FB">
              <w:t>Diabetes Seminar will offer comprehensive information in the following areas: Standards &amp; Practice Recommendations; Pregnancy &amp; Diabetes, Acute &amp;Chronic Complications of Diabetes; Diabetes Education; Medications</w:t>
            </w:r>
            <w:r>
              <w:t xml:space="preserve"> and Outpatient Counseling. </w:t>
            </w:r>
            <w:r w:rsidRPr="008360FB">
              <w:t>Treatment Algorithms, Protocols, and Guidelines for weight loss, exercise, nutrition, glycemic control, insulin administration and care of the elderly will also be discussed. Topic areas will be delivered through lecture, discussion and application.  Diabetes cooking class will be presented during the week.  The Diabetes Seminar and cooking class is open to all UT Health students and Health Care Professionals.</w:t>
            </w:r>
          </w:p>
        </w:tc>
      </w:tr>
      <w:tr w:rsidR="008233BF" w:rsidTr="007A0241">
        <w:trPr>
          <w:trHeight w:val="285"/>
        </w:trPr>
        <w:tc>
          <w:tcPr>
            <w:tcW w:w="1995" w:type="dxa"/>
          </w:tcPr>
          <w:p w:rsidR="008233BF" w:rsidRPr="007A5A95" w:rsidRDefault="008233BF" w:rsidP="008233BF">
            <w:pPr>
              <w:jc w:val="both"/>
              <w:rPr>
                <w:b/>
              </w:rPr>
            </w:pPr>
            <w:r w:rsidRPr="007A5A95">
              <w:rPr>
                <w:b/>
              </w:rPr>
              <w:t xml:space="preserve">Textbook </w:t>
            </w:r>
          </w:p>
          <w:p w:rsidR="008233BF" w:rsidRDefault="008233BF" w:rsidP="008233BF">
            <w:pPr>
              <w:jc w:val="both"/>
            </w:pPr>
            <w:r w:rsidRPr="007A5A95">
              <w:rPr>
                <w:b/>
              </w:rPr>
              <w:t>and Materials</w:t>
            </w:r>
          </w:p>
        </w:tc>
        <w:tc>
          <w:tcPr>
            <w:tcW w:w="7275" w:type="dxa"/>
            <w:shd w:val="clear" w:color="auto" w:fill="auto"/>
          </w:tcPr>
          <w:p w:rsidR="001A5B9E" w:rsidRPr="008360FB" w:rsidRDefault="001A5B9E" w:rsidP="008369E5">
            <w:r w:rsidRPr="008360FB">
              <w:t>Required</w:t>
            </w:r>
          </w:p>
          <w:p w:rsidR="001A5B9E" w:rsidRPr="008360FB" w:rsidRDefault="001A5B9E">
            <w:pPr>
              <w:numPr>
                <w:ilvl w:val="0"/>
                <w:numId w:val="1"/>
              </w:numPr>
            </w:pPr>
            <w:r w:rsidRPr="008360FB">
              <w:t>Choose Your Foods Exchange Lists for Diabetes</w:t>
            </w:r>
          </w:p>
          <w:p w:rsidR="001A5B9E" w:rsidRPr="008360FB" w:rsidRDefault="00971809" w:rsidP="008369E5">
            <w:pPr>
              <w:ind w:left="720"/>
            </w:pPr>
            <w:hyperlink r:id="rId11" w:history="1">
              <w:r w:rsidR="001A5B9E" w:rsidRPr="008360FB">
                <w:rPr>
                  <w:rStyle w:val="Hyperlink"/>
                </w:rPr>
                <w:t>http://dtc.ucsf.edu/pdfs/FoodLists.pdf</w:t>
              </w:r>
            </w:hyperlink>
            <w:r w:rsidR="001A5B9E" w:rsidRPr="008360FB">
              <w:t xml:space="preserve"> </w:t>
            </w:r>
          </w:p>
          <w:p w:rsidR="001A5B9E" w:rsidRPr="008360FB" w:rsidRDefault="001A5B9E" w:rsidP="001A5B9E">
            <w:pPr>
              <w:numPr>
                <w:ilvl w:val="0"/>
                <w:numId w:val="1"/>
              </w:numPr>
            </w:pPr>
            <w:r w:rsidRPr="008360FB">
              <w:t>Medical Nutrition Therapy: Case Studies</w:t>
            </w:r>
          </w:p>
          <w:p w:rsidR="001A5B9E" w:rsidRPr="008360FB" w:rsidRDefault="001A5B9E" w:rsidP="008369E5">
            <w:pPr>
              <w:ind w:left="720"/>
            </w:pPr>
            <w:r w:rsidRPr="008360FB">
              <w:t>Access through Canvas</w:t>
            </w:r>
          </w:p>
        </w:tc>
      </w:tr>
      <w:tr w:rsidR="003948C0" w:rsidTr="007A0241">
        <w:trPr>
          <w:trHeight w:val="555"/>
        </w:trPr>
        <w:tc>
          <w:tcPr>
            <w:tcW w:w="1995" w:type="dxa"/>
          </w:tcPr>
          <w:p w:rsidR="003948C0" w:rsidRPr="007A5A95" w:rsidRDefault="003948C0" w:rsidP="000C5043">
            <w:pPr>
              <w:jc w:val="both"/>
              <w:rPr>
                <w:b/>
              </w:rPr>
            </w:pPr>
            <w:r w:rsidRPr="007A5A95">
              <w:rPr>
                <w:b/>
              </w:rPr>
              <w:t xml:space="preserve">Course </w:t>
            </w:r>
            <w:r>
              <w:rPr>
                <w:b/>
              </w:rPr>
              <w:t>Expectations</w:t>
            </w:r>
          </w:p>
          <w:p w:rsidR="003948C0" w:rsidRDefault="003948C0" w:rsidP="000C5043">
            <w:pPr>
              <w:jc w:val="both"/>
            </w:pPr>
          </w:p>
        </w:tc>
        <w:tc>
          <w:tcPr>
            <w:tcW w:w="7275" w:type="dxa"/>
            <w:shd w:val="clear" w:color="auto" w:fill="auto"/>
          </w:tcPr>
          <w:p w:rsidR="006A1BDD" w:rsidRPr="008360FB" w:rsidRDefault="006A1BDD" w:rsidP="006A1BDD">
            <w:pPr>
              <w:pStyle w:val="Default"/>
            </w:pPr>
            <w:r w:rsidRPr="008360FB">
              <w:t xml:space="preserve">Students are expected to participate </w:t>
            </w:r>
            <w:r w:rsidR="0061161B" w:rsidRPr="008360FB">
              <w:t xml:space="preserve">in </w:t>
            </w:r>
            <w:r w:rsidRPr="008360FB">
              <w:t xml:space="preserve">in-class activities, complete </w:t>
            </w:r>
            <w:r w:rsidR="002B728D">
              <w:t xml:space="preserve">case studies and </w:t>
            </w:r>
            <w:r w:rsidRPr="008360FB">
              <w:t xml:space="preserve">homework assignments on time, and understand the fundamentals of </w:t>
            </w:r>
            <w:r w:rsidR="0032416A" w:rsidRPr="008360FB">
              <w:t xml:space="preserve">Diabetes mellitus </w:t>
            </w:r>
            <w:r w:rsidR="002B728D">
              <w:t xml:space="preserve">(Type I, II, </w:t>
            </w:r>
            <w:r w:rsidRPr="008360FB">
              <w:t>and Gestational</w:t>
            </w:r>
            <w:r w:rsidR="002B728D">
              <w:t>)</w:t>
            </w:r>
            <w:r w:rsidRPr="008360FB">
              <w:t xml:space="preserve"> at the end of this course. </w:t>
            </w:r>
          </w:p>
          <w:p w:rsidR="003948C0" w:rsidRPr="008360FB" w:rsidRDefault="003948C0" w:rsidP="001A72A7">
            <w:pPr>
              <w:ind w:left="720"/>
            </w:pPr>
          </w:p>
        </w:tc>
      </w:tr>
      <w:tr w:rsidR="003948C0" w:rsidTr="007A0241">
        <w:trPr>
          <w:trHeight w:val="555"/>
        </w:trPr>
        <w:tc>
          <w:tcPr>
            <w:tcW w:w="1995" w:type="dxa"/>
          </w:tcPr>
          <w:p w:rsidR="003948C0" w:rsidRPr="007A5A95" w:rsidRDefault="003948C0" w:rsidP="000C5043">
            <w:pPr>
              <w:jc w:val="both"/>
              <w:rPr>
                <w:b/>
              </w:rPr>
            </w:pPr>
            <w:r w:rsidRPr="007A5A95">
              <w:rPr>
                <w:b/>
              </w:rPr>
              <w:t>Course Learning Objectives</w:t>
            </w:r>
          </w:p>
          <w:p w:rsidR="003948C0" w:rsidRDefault="003948C0" w:rsidP="000C5043">
            <w:pPr>
              <w:jc w:val="both"/>
            </w:pPr>
          </w:p>
        </w:tc>
        <w:tc>
          <w:tcPr>
            <w:tcW w:w="7275" w:type="dxa"/>
            <w:shd w:val="clear" w:color="auto" w:fill="auto"/>
          </w:tcPr>
          <w:p w:rsidR="00AB2697" w:rsidRPr="008360FB" w:rsidRDefault="00AB2697" w:rsidP="002B728D">
            <w:r w:rsidRPr="008360FB">
              <w:t>At the completion of this course the student will:</w:t>
            </w:r>
          </w:p>
          <w:p w:rsidR="00AB2697" w:rsidRPr="008360FB" w:rsidRDefault="00E21995" w:rsidP="00B315E4">
            <w:pPr>
              <w:pStyle w:val="BodyText2"/>
              <w:numPr>
                <w:ilvl w:val="0"/>
                <w:numId w:val="1"/>
              </w:numPr>
              <w:rPr>
                <w:sz w:val="24"/>
              </w:rPr>
            </w:pPr>
            <w:r w:rsidRPr="008360FB">
              <w:rPr>
                <w:sz w:val="24"/>
              </w:rPr>
              <w:t>B</w:t>
            </w:r>
            <w:r w:rsidR="00AB2697" w:rsidRPr="008360FB">
              <w:rPr>
                <w:sz w:val="24"/>
              </w:rPr>
              <w:t xml:space="preserve">e familiar with the Evidence Analysis Library Reports at eatright.org Nutrition Practice Guidelines for Type I and Type II Diabetes. </w:t>
            </w:r>
          </w:p>
          <w:p w:rsidR="00A93C10" w:rsidRPr="008360FB" w:rsidRDefault="00E21995" w:rsidP="00B315E4">
            <w:pPr>
              <w:pStyle w:val="BodyText2"/>
              <w:numPr>
                <w:ilvl w:val="0"/>
                <w:numId w:val="1"/>
              </w:numPr>
              <w:rPr>
                <w:sz w:val="24"/>
              </w:rPr>
            </w:pPr>
            <w:r w:rsidRPr="008360FB">
              <w:rPr>
                <w:sz w:val="24"/>
              </w:rPr>
              <w:lastRenderedPageBreak/>
              <w:t>D</w:t>
            </w:r>
            <w:r w:rsidR="00AB2697" w:rsidRPr="008360FB">
              <w:rPr>
                <w:sz w:val="24"/>
              </w:rPr>
              <w:t>esign, implement and evaluate age appropriate nutrition education sessions related to d</w:t>
            </w:r>
            <w:r w:rsidR="00A93C10" w:rsidRPr="008360FB">
              <w:rPr>
                <w:sz w:val="24"/>
              </w:rPr>
              <w:t>iabetes participate in patient discussions</w:t>
            </w:r>
          </w:p>
          <w:p w:rsidR="00A93C10" w:rsidRPr="008360FB" w:rsidRDefault="007F3BDF" w:rsidP="00B315E4">
            <w:pPr>
              <w:pStyle w:val="BodyText2"/>
              <w:numPr>
                <w:ilvl w:val="0"/>
                <w:numId w:val="1"/>
              </w:numPr>
              <w:rPr>
                <w:sz w:val="24"/>
              </w:rPr>
            </w:pPr>
            <w:r w:rsidRPr="008360FB">
              <w:rPr>
                <w:sz w:val="24"/>
              </w:rPr>
              <w:t xml:space="preserve">Demonstrate </w:t>
            </w:r>
            <w:r w:rsidR="00A93C10" w:rsidRPr="008360FB">
              <w:rPr>
                <w:sz w:val="24"/>
              </w:rPr>
              <w:t>Broad-based knowledge of diabetes, pathogenesis, diagnosis, prevention, complications,</w:t>
            </w:r>
            <w:r w:rsidRPr="008360FB">
              <w:rPr>
                <w:sz w:val="24"/>
              </w:rPr>
              <w:t xml:space="preserve"> </w:t>
            </w:r>
            <w:r w:rsidR="00A93C10" w:rsidRPr="008360FB">
              <w:rPr>
                <w:sz w:val="24"/>
              </w:rPr>
              <w:t>and management.</w:t>
            </w:r>
          </w:p>
          <w:p w:rsidR="00A93C10" w:rsidRPr="008360FB" w:rsidRDefault="007F3BDF" w:rsidP="00B315E4">
            <w:pPr>
              <w:pStyle w:val="BodyText2"/>
              <w:numPr>
                <w:ilvl w:val="0"/>
                <w:numId w:val="1"/>
              </w:numPr>
              <w:rPr>
                <w:sz w:val="24"/>
              </w:rPr>
            </w:pPr>
            <w:r w:rsidRPr="008360FB">
              <w:rPr>
                <w:sz w:val="24"/>
              </w:rPr>
              <w:t xml:space="preserve">Demonstrate </w:t>
            </w:r>
            <w:r w:rsidR="00A93C10" w:rsidRPr="008360FB">
              <w:rPr>
                <w:sz w:val="24"/>
              </w:rPr>
              <w:t>Technical skills such as injection technique, blood glucose monitoring, and foot care.</w:t>
            </w:r>
          </w:p>
          <w:p w:rsidR="00A93C10" w:rsidRPr="008360FB" w:rsidRDefault="007F3BDF" w:rsidP="00B315E4">
            <w:pPr>
              <w:pStyle w:val="BodyText2"/>
              <w:numPr>
                <w:ilvl w:val="0"/>
                <w:numId w:val="1"/>
              </w:numPr>
              <w:rPr>
                <w:sz w:val="24"/>
              </w:rPr>
            </w:pPr>
            <w:r w:rsidRPr="008360FB">
              <w:rPr>
                <w:sz w:val="24"/>
              </w:rPr>
              <w:t xml:space="preserve">Demonstrate </w:t>
            </w:r>
            <w:r w:rsidR="00A93C10" w:rsidRPr="008360FB">
              <w:rPr>
                <w:sz w:val="24"/>
              </w:rPr>
              <w:t>Interpersonal skills, such as empathy, communication, assertiveness, flexibility, and</w:t>
            </w:r>
            <w:r w:rsidRPr="008360FB">
              <w:rPr>
                <w:sz w:val="24"/>
              </w:rPr>
              <w:t xml:space="preserve"> </w:t>
            </w:r>
            <w:r w:rsidR="00A93C10" w:rsidRPr="008360FB">
              <w:rPr>
                <w:sz w:val="24"/>
              </w:rPr>
              <w:t>resourcefulness.</w:t>
            </w:r>
          </w:p>
          <w:p w:rsidR="00A93C10" w:rsidRPr="008360FB" w:rsidRDefault="007F3BDF" w:rsidP="00B315E4">
            <w:pPr>
              <w:pStyle w:val="BodyText2"/>
              <w:numPr>
                <w:ilvl w:val="0"/>
                <w:numId w:val="1"/>
              </w:numPr>
              <w:rPr>
                <w:sz w:val="24"/>
              </w:rPr>
            </w:pPr>
            <w:r w:rsidRPr="008360FB">
              <w:rPr>
                <w:sz w:val="24"/>
              </w:rPr>
              <w:t xml:space="preserve">Demonstrate </w:t>
            </w:r>
            <w:r w:rsidR="00A93C10" w:rsidRPr="008360FB">
              <w:rPr>
                <w:sz w:val="24"/>
              </w:rPr>
              <w:t>Presentation, writing, and interviewing skills, understanding the education process for adults</w:t>
            </w:r>
            <w:r w:rsidRPr="008360FB">
              <w:rPr>
                <w:sz w:val="24"/>
              </w:rPr>
              <w:t xml:space="preserve"> </w:t>
            </w:r>
            <w:r w:rsidR="00A93C10" w:rsidRPr="008360FB">
              <w:rPr>
                <w:sz w:val="24"/>
              </w:rPr>
              <w:t>and children.</w:t>
            </w:r>
          </w:p>
          <w:p w:rsidR="00AB2697" w:rsidRPr="008360FB" w:rsidRDefault="007F3BDF" w:rsidP="00B315E4">
            <w:pPr>
              <w:pStyle w:val="BodyText2"/>
              <w:numPr>
                <w:ilvl w:val="0"/>
                <w:numId w:val="1"/>
              </w:numPr>
              <w:rPr>
                <w:sz w:val="24"/>
              </w:rPr>
            </w:pPr>
            <w:r w:rsidRPr="008360FB">
              <w:rPr>
                <w:sz w:val="24"/>
              </w:rPr>
              <w:t>Understand behavior</w:t>
            </w:r>
            <w:r w:rsidR="00A93C10" w:rsidRPr="008360FB">
              <w:rPr>
                <w:sz w:val="24"/>
              </w:rPr>
              <w:t xml:space="preserve"> change and education strategies.</w:t>
            </w:r>
            <w:r w:rsidR="00AB2697" w:rsidRPr="008360FB">
              <w:rPr>
                <w:sz w:val="24"/>
              </w:rPr>
              <w:t xml:space="preserve"> </w:t>
            </w:r>
          </w:p>
          <w:p w:rsidR="000E0971" w:rsidRPr="008360FB" w:rsidRDefault="000E0971" w:rsidP="000E0971">
            <w:pPr>
              <w:pStyle w:val="BodyText2"/>
              <w:rPr>
                <w:sz w:val="24"/>
              </w:rPr>
            </w:pPr>
          </w:p>
          <w:p w:rsidR="008360FB" w:rsidRPr="008360FB" w:rsidRDefault="008360FB" w:rsidP="008360FB">
            <w:pPr>
              <w:rPr>
                <w:u w:val="single"/>
              </w:rPr>
            </w:pPr>
            <w:r w:rsidRPr="008360FB">
              <w:rPr>
                <w:u w:val="single"/>
              </w:rPr>
              <w:t>Accreditation Council for Education in Nutrition and Dietetics:</w:t>
            </w:r>
          </w:p>
          <w:p w:rsidR="008360FB" w:rsidRPr="008360FB" w:rsidRDefault="008360FB" w:rsidP="008360FB">
            <w:pPr>
              <w:rPr>
                <w:u w:val="single"/>
              </w:rPr>
            </w:pPr>
          </w:p>
          <w:p w:rsidR="008360FB" w:rsidRPr="008360FB" w:rsidRDefault="008360FB" w:rsidP="008360FB">
            <w:pPr>
              <w:numPr>
                <w:ilvl w:val="0"/>
                <w:numId w:val="12"/>
              </w:numPr>
            </w:pPr>
            <w:r w:rsidRPr="008360FB">
              <w:t>CRDN 1.2 Apply evidence-based guidelines, systematic reviews and scientific literature.</w:t>
            </w:r>
          </w:p>
          <w:p w:rsidR="008360FB" w:rsidRPr="008360FB" w:rsidRDefault="008360FB" w:rsidP="008360FB">
            <w:pPr>
              <w:numPr>
                <w:ilvl w:val="0"/>
                <w:numId w:val="12"/>
              </w:numPr>
            </w:pPr>
            <w:r w:rsidRPr="008360FB">
              <w:t>CRDN 1.5 Conduct projects using appropriate research methods, ethical procedures, and analysis.</w:t>
            </w:r>
          </w:p>
          <w:p w:rsidR="008360FB" w:rsidRPr="008360FB" w:rsidRDefault="008360FB" w:rsidP="008360FB">
            <w:pPr>
              <w:numPr>
                <w:ilvl w:val="0"/>
                <w:numId w:val="12"/>
              </w:numPr>
            </w:pPr>
            <w:r w:rsidRPr="008360FB">
              <w:t>CRDN 2.1 Practice in compliance with current federal regulations and state statutes and rules, as applicable and in accordance with accreditation standards and the scope of Nutrition and Dietetic Practice and Code of Ethics for the profession for Nutrition and Dietetics.</w:t>
            </w:r>
          </w:p>
          <w:p w:rsidR="008360FB" w:rsidRPr="008360FB" w:rsidRDefault="008360FB" w:rsidP="008360FB">
            <w:pPr>
              <w:numPr>
                <w:ilvl w:val="0"/>
                <w:numId w:val="12"/>
              </w:numPr>
            </w:pPr>
            <w:r w:rsidRPr="008360FB">
              <w:t>CRDN 2.2 Demonstrate professional writing skills in preparing professional communications.</w:t>
            </w:r>
          </w:p>
          <w:p w:rsidR="008360FB" w:rsidRPr="008360FB" w:rsidRDefault="008360FB" w:rsidP="008360FB">
            <w:pPr>
              <w:numPr>
                <w:ilvl w:val="0"/>
                <w:numId w:val="12"/>
              </w:numPr>
            </w:pPr>
            <w:r w:rsidRPr="008360FB">
              <w:t>CRDN 2.3 Demonstrate active participation, teamwork and contributions in group settings.</w:t>
            </w:r>
          </w:p>
          <w:p w:rsidR="008360FB" w:rsidRPr="008360FB" w:rsidRDefault="008360FB" w:rsidP="008360FB">
            <w:pPr>
              <w:numPr>
                <w:ilvl w:val="0"/>
                <w:numId w:val="12"/>
              </w:numPr>
            </w:pPr>
            <w:r w:rsidRPr="008360FB">
              <w:t>CRDN 2.8 Demonstrate negotiation skills.</w:t>
            </w:r>
          </w:p>
          <w:p w:rsidR="008360FB" w:rsidRPr="008360FB" w:rsidRDefault="008360FB" w:rsidP="008360FB">
            <w:pPr>
              <w:numPr>
                <w:ilvl w:val="0"/>
                <w:numId w:val="12"/>
              </w:numPr>
            </w:pPr>
            <w:r w:rsidRPr="008360FB">
              <w:t>CRDN 2.10 Demonstrate professional attributes in all areas of practice.</w:t>
            </w:r>
          </w:p>
          <w:p w:rsidR="008360FB" w:rsidRPr="008360FB" w:rsidRDefault="008360FB" w:rsidP="008360FB">
            <w:pPr>
              <w:numPr>
                <w:ilvl w:val="0"/>
                <w:numId w:val="12"/>
              </w:numPr>
            </w:pPr>
            <w:r w:rsidRPr="008360FB">
              <w:t>CRDN 2.11 Show cultural competence/sensitivity in interactions with clients, colleagues and staff.</w:t>
            </w:r>
          </w:p>
          <w:p w:rsidR="008360FB" w:rsidRPr="008360FB" w:rsidRDefault="00F85A99" w:rsidP="008360FB">
            <w:pPr>
              <w:numPr>
                <w:ilvl w:val="0"/>
                <w:numId w:val="12"/>
              </w:numPr>
            </w:pPr>
            <w:r>
              <w:t>CRDN 2.13</w:t>
            </w:r>
            <w:r w:rsidR="008360FB" w:rsidRPr="008360FB">
              <w:t xml:space="preserve"> Perform self-assessment and develop goals for self-improvement throughout the program.</w:t>
            </w:r>
          </w:p>
          <w:p w:rsidR="008360FB" w:rsidRPr="008360FB" w:rsidRDefault="008360FB" w:rsidP="008360FB">
            <w:pPr>
              <w:numPr>
                <w:ilvl w:val="0"/>
                <w:numId w:val="12"/>
              </w:numPr>
            </w:pPr>
            <w:r w:rsidRPr="008360FB">
              <w:t>CRDN 3.4 Design, implement, and evaluate presentations to a target audience.</w:t>
            </w:r>
          </w:p>
          <w:p w:rsidR="008360FB" w:rsidRPr="008360FB" w:rsidRDefault="008360FB" w:rsidP="008360FB">
            <w:pPr>
              <w:numPr>
                <w:ilvl w:val="0"/>
                <w:numId w:val="12"/>
              </w:numPr>
            </w:pPr>
            <w:r w:rsidRPr="008360FB">
              <w:t>CRDN 3.5 Develop nutrition education materials that are culturally and age appropriate and designed for the educational level of the audience.</w:t>
            </w:r>
          </w:p>
          <w:p w:rsidR="008360FB" w:rsidRPr="008360FB" w:rsidRDefault="008360FB" w:rsidP="008360FB">
            <w:pPr>
              <w:numPr>
                <w:ilvl w:val="0"/>
                <w:numId w:val="12"/>
              </w:numPr>
            </w:pPr>
            <w:r w:rsidRPr="008360FB">
              <w:t>CRDN 3.6 Use effective education and counseling skills to facilitate behavioral changes</w:t>
            </w:r>
          </w:p>
          <w:p w:rsidR="008360FB" w:rsidRPr="008360FB" w:rsidRDefault="008360FB" w:rsidP="008360FB">
            <w:pPr>
              <w:numPr>
                <w:ilvl w:val="0"/>
                <w:numId w:val="12"/>
              </w:numPr>
            </w:pPr>
            <w:r w:rsidRPr="008360FB">
              <w:t xml:space="preserve">CRDN 3.10 Develop and evaluate recipes, formulas, and menus for acceptability and affordability that accommodate the cultural </w:t>
            </w:r>
            <w:r w:rsidRPr="008360FB">
              <w:lastRenderedPageBreak/>
              <w:t>diversity and health needs of various populations, groups and individuals.</w:t>
            </w:r>
          </w:p>
          <w:p w:rsidR="008360FB" w:rsidRPr="008360FB" w:rsidRDefault="008360FB" w:rsidP="008360FB">
            <w:pPr>
              <w:numPr>
                <w:ilvl w:val="0"/>
                <w:numId w:val="12"/>
              </w:numPr>
            </w:pPr>
            <w:r w:rsidRPr="008360FB">
              <w:t>CRDN 4.3 Conduct clinical and customer service quality management activities</w:t>
            </w:r>
          </w:p>
          <w:p w:rsidR="008360FB" w:rsidRPr="008360FB" w:rsidRDefault="00F85A99" w:rsidP="008360FB">
            <w:pPr>
              <w:numPr>
                <w:ilvl w:val="0"/>
                <w:numId w:val="12"/>
              </w:numPr>
            </w:pPr>
            <w:r>
              <w:t>CRDN 4.10 Analyze risk in nutrition and dietetic practice.</w:t>
            </w:r>
          </w:p>
          <w:p w:rsidR="00AB2697" w:rsidRPr="008360FB" w:rsidRDefault="00AB2697" w:rsidP="00AB2697">
            <w:pPr>
              <w:rPr>
                <w:u w:val="single"/>
              </w:rPr>
            </w:pPr>
          </w:p>
          <w:p w:rsidR="00AB2697" w:rsidRPr="008360FB" w:rsidRDefault="00AB2697" w:rsidP="00AB2697">
            <w:pPr>
              <w:pStyle w:val="ListParagraph"/>
              <w:ind w:left="0"/>
            </w:pPr>
            <w:r w:rsidRPr="008360FB">
              <w:rPr>
                <w:u w:val="single"/>
              </w:rPr>
              <w:t>UT SPH Core Competencies</w:t>
            </w:r>
            <w:r w:rsidRPr="008360FB">
              <w:t>:</w:t>
            </w:r>
          </w:p>
          <w:p w:rsidR="00AB2697" w:rsidRPr="008360FB" w:rsidRDefault="00AB2697" w:rsidP="00B315E4">
            <w:pPr>
              <w:numPr>
                <w:ilvl w:val="0"/>
                <w:numId w:val="1"/>
              </w:numPr>
            </w:pPr>
            <w:r w:rsidRPr="008360FB">
              <w:rPr>
                <w:color w:val="000000"/>
              </w:rPr>
              <w:t>Demonstrate ethical choices, values and professional practices implicit in public health decisions.</w:t>
            </w:r>
          </w:p>
          <w:p w:rsidR="00AB2697" w:rsidRPr="008360FB" w:rsidRDefault="00AB2697" w:rsidP="00B315E4">
            <w:pPr>
              <w:numPr>
                <w:ilvl w:val="0"/>
                <w:numId w:val="1"/>
              </w:numPr>
            </w:pPr>
            <w:r w:rsidRPr="008360FB">
              <w:t>Describe health problems including their social, cultural, environmental and behavioral causes.</w:t>
            </w:r>
          </w:p>
          <w:p w:rsidR="00AB2697" w:rsidRPr="008360FB" w:rsidRDefault="00AB2697" w:rsidP="00B315E4">
            <w:pPr>
              <w:numPr>
                <w:ilvl w:val="0"/>
                <w:numId w:val="1"/>
              </w:numPr>
            </w:pPr>
            <w:r w:rsidRPr="008360FB">
              <w:t>Apply biological concepts to public health issues and practice.</w:t>
            </w:r>
          </w:p>
          <w:p w:rsidR="003948C0" w:rsidRPr="008360FB" w:rsidRDefault="00AB2697" w:rsidP="00B315E4">
            <w:pPr>
              <w:numPr>
                <w:ilvl w:val="0"/>
                <w:numId w:val="1"/>
              </w:numPr>
            </w:pPr>
            <w:r w:rsidRPr="008360FB">
              <w:t>Recognize value and integrate diverse individuals, groups and communities in order to produce public health outcomes.</w:t>
            </w:r>
          </w:p>
        </w:tc>
      </w:tr>
      <w:tr w:rsidR="00C618C7" w:rsidTr="007A0241">
        <w:trPr>
          <w:trHeight w:val="555"/>
        </w:trPr>
        <w:tc>
          <w:tcPr>
            <w:tcW w:w="1995" w:type="dxa"/>
          </w:tcPr>
          <w:p w:rsidR="00C618C7" w:rsidRPr="007A5A95" w:rsidRDefault="003948C0">
            <w:pPr>
              <w:jc w:val="both"/>
              <w:rPr>
                <w:b/>
              </w:rPr>
            </w:pPr>
            <w:r>
              <w:rPr>
                <w:b/>
              </w:rPr>
              <w:lastRenderedPageBreak/>
              <w:t>List of Topics</w:t>
            </w:r>
          </w:p>
          <w:p w:rsidR="00C618C7" w:rsidRDefault="00C618C7">
            <w:pPr>
              <w:jc w:val="both"/>
            </w:pPr>
          </w:p>
        </w:tc>
        <w:tc>
          <w:tcPr>
            <w:tcW w:w="7275" w:type="dxa"/>
            <w:shd w:val="clear" w:color="auto" w:fill="auto"/>
          </w:tcPr>
          <w:p w:rsidR="00C618C7" w:rsidRPr="008360FB" w:rsidRDefault="00AB2697">
            <w:pPr>
              <w:numPr>
                <w:ilvl w:val="0"/>
                <w:numId w:val="1"/>
              </w:numPr>
            </w:pPr>
            <w:r w:rsidRPr="008360FB">
              <w:t>Pregnancy &amp; Diabetes, Acute &amp;Chronic Complications of Diabetes; Diabetes Education; and Medications.  Treatment Algorithms, Protocols, and Guidelines for weight loss, exercise, nutrition, glycemic control, insulin administration and care of the elderly will also be discussed.</w:t>
            </w:r>
          </w:p>
        </w:tc>
      </w:tr>
      <w:tr w:rsidR="00933F52" w:rsidTr="00215894">
        <w:trPr>
          <w:trHeight w:val="5343"/>
        </w:trPr>
        <w:tc>
          <w:tcPr>
            <w:tcW w:w="1995" w:type="dxa"/>
          </w:tcPr>
          <w:p w:rsidR="00933F52" w:rsidRPr="007A5A95" w:rsidRDefault="00933F52" w:rsidP="00C618C7">
            <w:pPr>
              <w:jc w:val="both"/>
              <w:rPr>
                <w:b/>
              </w:rPr>
            </w:pPr>
            <w:r w:rsidRPr="007A5A95">
              <w:rPr>
                <w:b/>
              </w:rPr>
              <w:t xml:space="preserve">Learning Activities </w:t>
            </w:r>
          </w:p>
          <w:p w:rsidR="00933F52" w:rsidRDefault="00933F52" w:rsidP="002912D7">
            <w:pPr>
              <w:jc w:val="both"/>
            </w:pPr>
          </w:p>
        </w:tc>
        <w:tc>
          <w:tcPr>
            <w:tcW w:w="7275" w:type="dxa"/>
            <w:shd w:val="clear" w:color="auto" w:fill="auto"/>
          </w:tcPr>
          <w:p w:rsidR="00AB2697" w:rsidRPr="008360FB" w:rsidRDefault="00AB2697" w:rsidP="00AB2697">
            <w:pPr>
              <w:numPr>
                <w:ilvl w:val="0"/>
                <w:numId w:val="8"/>
              </w:numPr>
            </w:pPr>
            <w:r w:rsidRPr="008360FB">
              <w:rPr>
                <w:bCs/>
                <w:u w:val="single"/>
              </w:rPr>
              <w:t>Evaluation and Grading</w:t>
            </w:r>
            <w:r w:rsidRPr="008360FB">
              <w:t>: Students will be evaluated through an exam (</w:t>
            </w:r>
            <w:r w:rsidR="0032416A" w:rsidRPr="008360FB">
              <w:t>passing score of 80</w:t>
            </w:r>
            <w:r w:rsidRPr="008360FB">
              <w:t xml:space="preserve">% required), attendance and participation in class; completion of case studies; timely completion and submission of assignments; group project (creation of an educational game for children with DM type I) </w:t>
            </w:r>
          </w:p>
          <w:p w:rsidR="00AB2697" w:rsidRPr="008360FB" w:rsidRDefault="00AB2697" w:rsidP="00AB2697">
            <w:pPr>
              <w:numPr>
                <w:ilvl w:val="0"/>
                <w:numId w:val="8"/>
              </w:numPr>
            </w:pPr>
            <w:r w:rsidRPr="008360FB">
              <w:rPr>
                <w:bCs/>
                <w:u w:val="single"/>
              </w:rPr>
              <w:t>Readings</w:t>
            </w:r>
            <w:r w:rsidRPr="008360FB">
              <w:t xml:space="preserve">:  Students are responsible for textbook and related readings pertaining to topic. Additional readings can be obtained by accessing related journals from the SPH library and optional reference books. </w:t>
            </w:r>
          </w:p>
          <w:p w:rsidR="00AB2697" w:rsidRPr="008360FB" w:rsidRDefault="00AB2697" w:rsidP="00AB2697">
            <w:pPr>
              <w:numPr>
                <w:ilvl w:val="0"/>
                <w:numId w:val="8"/>
              </w:numPr>
            </w:pPr>
            <w:r w:rsidRPr="008360FB">
              <w:rPr>
                <w:bCs/>
                <w:u w:val="single"/>
              </w:rPr>
              <w:t>Case Studies</w:t>
            </w:r>
            <w:r w:rsidRPr="008360FB">
              <w:t>: All assigned case studies should</w:t>
            </w:r>
            <w:r w:rsidR="00491719" w:rsidRPr="008360FB">
              <w:t xml:space="preserve"> be completed - </w:t>
            </w:r>
            <w:r w:rsidRPr="008360FB">
              <w:t>typed format and emailed to the instructor before the assigned date for grading. Supplemental material may be added. Students should turn in the case study o</w:t>
            </w:r>
            <w:r w:rsidR="00E21995" w:rsidRPr="008360FB">
              <w:t>n the due date for full credit.</w:t>
            </w:r>
          </w:p>
          <w:p w:rsidR="00AB2697" w:rsidRPr="008360FB" w:rsidRDefault="00AB2697" w:rsidP="00AB2697">
            <w:pPr>
              <w:pStyle w:val="Heading3"/>
              <w:numPr>
                <w:ilvl w:val="0"/>
                <w:numId w:val="9"/>
              </w:numPr>
              <w:spacing w:before="0" w:after="0"/>
              <w:rPr>
                <w:rFonts w:ascii="Times New Roman" w:hAnsi="Times New Roman"/>
                <w:b w:val="0"/>
                <w:bCs w:val="0"/>
                <w:sz w:val="24"/>
                <w:szCs w:val="24"/>
              </w:rPr>
            </w:pPr>
            <w:r w:rsidRPr="008360FB">
              <w:rPr>
                <w:rFonts w:ascii="Times New Roman" w:hAnsi="Times New Roman"/>
                <w:b w:val="0"/>
                <w:sz w:val="24"/>
                <w:szCs w:val="24"/>
                <w:u w:val="single"/>
              </w:rPr>
              <w:t>Examination</w:t>
            </w:r>
            <w:r w:rsidRPr="008360FB">
              <w:rPr>
                <w:rFonts w:ascii="Times New Roman" w:hAnsi="Times New Roman"/>
                <w:sz w:val="24"/>
                <w:szCs w:val="24"/>
              </w:rPr>
              <w:t xml:space="preserve">: </w:t>
            </w:r>
            <w:r w:rsidRPr="008360FB">
              <w:rPr>
                <w:rFonts w:ascii="Times New Roman" w:hAnsi="Times New Roman"/>
                <w:b w:val="0"/>
                <w:bCs w:val="0"/>
                <w:sz w:val="24"/>
                <w:szCs w:val="24"/>
              </w:rPr>
              <w:t xml:space="preserve"> There will be 1 examinat</w:t>
            </w:r>
            <w:r w:rsidR="00A80DE7">
              <w:rPr>
                <w:rFonts w:ascii="Times New Roman" w:hAnsi="Times New Roman"/>
                <w:b w:val="0"/>
                <w:bCs w:val="0"/>
                <w:sz w:val="24"/>
                <w:szCs w:val="24"/>
              </w:rPr>
              <w:t>ion with the requirement of</w:t>
            </w:r>
            <w:r w:rsidR="0032416A" w:rsidRPr="008360FB">
              <w:rPr>
                <w:rFonts w:ascii="Times New Roman" w:hAnsi="Times New Roman"/>
                <w:b w:val="0"/>
                <w:bCs w:val="0"/>
                <w:sz w:val="24"/>
                <w:szCs w:val="24"/>
              </w:rPr>
              <w:t xml:space="preserve"> 80</w:t>
            </w:r>
            <w:r w:rsidRPr="008360FB">
              <w:rPr>
                <w:rFonts w:ascii="Times New Roman" w:hAnsi="Times New Roman"/>
                <w:b w:val="0"/>
                <w:bCs w:val="0"/>
                <w:sz w:val="24"/>
                <w:szCs w:val="24"/>
              </w:rPr>
              <w:t xml:space="preserve">% or higher. </w:t>
            </w:r>
          </w:p>
          <w:p w:rsidR="00933F52" w:rsidRPr="008360FB" w:rsidRDefault="00AB2697" w:rsidP="007F3BDF">
            <w:pPr>
              <w:numPr>
                <w:ilvl w:val="0"/>
                <w:numId w:val="1"/>
              </w:numPr>
            </w:pPr>
            <w:r w:rsidRPr="008360FB">
              <w:rPr>
                <w:u w:val="single"/>
              </w:rPr>
              <w:t>Educational Project:</w:t>
            </w:r>
            <w:r w:rsidRPr="008360FB">
              <w:rPr>
                <w:b/>
                <w:u w:val="single"/>
              </w:rPr>
              <w:t xml:space="preserve"> </w:t>
            </w:r>
            <w:r w:rsidRPr="008360FB">
              <w:t>As a group, students w</w:t>
            </w:r>
            <w:r w:rsidR="00DA516C" w:rsidRPr="008360FB">
              <w:t>ill create an educational informatics related to a snack food/portions/desserts/ for an individual with DM</w:t>
            </w:r>
          </w:p>
        </w:tc>
      </w:tr>
      <w:tr w:rsidR="00601035" w:rsidTr="007A0241">
        <w:trPr>
          <w:trHeight w:val="483"/>
        </w:trPr>
        <w:tc>
          <w:tcPr>
            <w:tcW w:w="1995" w:type="dxa"/>
            <w:vMerge w:val="restart"/>
          </w:tcPr>
          <w:p w:rsidR="00601035" w:rsidRPr="007A5A95" w:rsidRDefault="00601035" w:rsidP="00BF1C41">
            <w:pPr>
              <w:rPr>
                <w:b/>
              </w:rPr>
            </w:pPr>
            <w:r w:rsidRPr="007A5A95">
              <w:rPr>
                <w:b/>
              </w:rPr>
              <w:t>Student Assessment</w:t>
            </w:r>
          </w:p>
          <w:p w:rsidR="00601035" w:rsidRDefault="00601035" w:rsidP="00BF1C41">
            <w:r w:rsidRPr="007A5A95">
              <w:rPr>
                <w:b/>
              </w:rPr>
              <w:t>And Grading Criteria</w:t>
            </w:r>
          </w:p>
        </w:tc>
        <w:tc>
          <w:tcPr>
            <w:tcW w:w="7275" w:type="dxa"/>
            <w:shd w:val="clear" w:color="auto" w:fill="auto"/>
          </w:tcPr>
          <w:p w:rsidR="00601035" w:rsidRPr="008360FB" w:rsidRDefault="00601035" w:rsidP="00AB2697">
            <w:pPr>
              <w:ind w:left="1440" w:hanging="1440"/>
              <w:rPr>
                <w:b/>
                <w:bCs/>
              </w:rPr>
            </w:pPr>
            <w:r w:rsidRPr="008360FB">
              <w:rPr>
                <w:b/>
                <w:bCs/>
                <w:u w:val="single"/>
              </w:rPr>
              <w:t>Assignment</w:t>
            </w:r>
            <w:r w:rsidRPr="008360FB">
              <w:rPr>
                <w:b/>
                <w:bCs/>
              </w:rPr>
              <w:t>:</w:t>
            </w:r>
            <w:r w:rsidRPr="008360FB">
              <w:rPr>
                <w:b/>
                <w:bCs/>
              </w:rPr>
              <w:tab/>
            </w:r>
            <w:r w:rsidRPr="008360FB">
              <w:rPr>
                <w:b/>
                <w:bCs/>
              </w:rPr>
              <w:tab/>
            </w:r>
            <w:r w:rsidRPr="008360FB">
              <w:rPr>
                <w:b/>
                <w:bCs/>
              </w:rPr>
              <w:tab/>
            </w:r>
            <w:r w:rsidRPr="008360FB">
              <w:rPr>
                <w:b/>
                <w:bCs/>
              </w:rPr>
              <w:tab/>
            </w:r>
            <w:r w:rsidRPr="008360FB">
              <w:rPr>
                <w:b/>
                <w:bCs/>
              </w:rPr>
              <w:tab/>
            </w:r>
            <w:r w:rsidRPr="008360FB">
              <w:rPr>
                <w:b/>
                <w:bCs/>
              </w:rPr>
              <w:tab/>
            </w:r>
            <w:r w:rsidRPr="008360FB">
              <w:rPr>
                <w:b/>
                <w:bCs/>
              </w:rPr>
              <w:tab/>
            </w:r>
            <w:r w:rsidRPr="008360FB">
              <w:rPr>
                <w:b/>
                <w:bCs/>
                <w:u w:val="single"/>
              </w:rPr>
              <w:t>Points</w:t>
            </w:r>
            <w:r w:rsidRPr="008360FB">
              <w:rPr>
                <w:b/>
                <w:bCs/>
              </w:rPr>
              <w:t>:</w:t>
            </w:r>
          </w:p>
          <w:p w:rsidR="00601035" w:rsidRPr="008360FB" w:rsidRDefault="00601035" w:rsidP="00AB2697">
            <w:r w:rsidRPr="008360FB">
              <w:t>Attendance / Participation                                                      100</w:t>
            </w:r>
          </w:p>
          <w:p w:rsidR="00601035" w:rsidRPr="008360FB" w:rsidRDefault="00601035" w:rsidP="00AB2697">
            <w:r w:rsidRPr="008360FB">
              <w:t xml:space="preserve">DM Competencies      </w:t>
            </w:r>
            <w:r w:rsidRPr="008360FB">
              <w:tab/>
            </w:r>
            <w:r w:rsidRPr="008360FB">
              <w:tab/>
            </w:r>
            <w:r w:rsidRPr="008360FB">
              <w:tab/>
            </w:r>
            <w:r w:rsidRPr="008360FB">
              <w:tab/>
            </w:r>
            <w:r w:rsidRPr="008360FB">
              <w:tab/>
              <w:t>100</w:t>
            </w:r>
          </w:p>
          <w:p w:rsidR="00601035" w:rsidRPr="008360FB" w:rsidRDefault="00601035" w:rsidP="00AB2697">
            <w:r w:rsidRPr="008360FB">
              <w:t xml:space="preserve">Examination </w:t>
            </w:r>
            <w:r w:rsidRPr="008360FB">
              <w:tab/>
            </w:r>
            <w:r w:rsidRPr="008360FB">
              <w:tab/>
            </w:r>
            <w:r w:rsidRPr="008360FB">
              <w:tab/>
            </w:r>
            <w:r w:rsidRPr="008360FB">
              <w:tab/>
            </w:r>
            <w:r w:rsidRPr="008360FB">
              <w:tab/>
            </w:r>
            <w:r w:rsidRPr="008360FB">
              <w:tab/>
            </w:r>
            <w:r w:rsidRPr="008360FB">
              <w:tab/>
              <w:t>100</w:t>
            </w:r>
          </w:p>
          <w:p w:rsidR="00601035" w:rsidRPr="008360FB" w:rsidRDefault="00601035" w:rsidP="00AB2697">
            <w:r w:rsidRPr="008360FB">
              <w:t>Case Studies</w:t>
            </w:r>
            <w:r w:rsidRPr="008360FB">
              <w:tab/>
            </w:r>
            <w:r w:rsidRPr="008360FB">
              <w:tab/>
            </w:r>
            <w:r w:rsidRPr="008360FB">
              <w:tab/>
              <w:t xml:space="preserve">                             </w:t>
            </w:r>
            <w:r w:rsidRPr="008360FB">
              <w:tab/>
            </w:r>
            <w:r w:rsidRPr="008360FB">
              <w:tab/>
              <w:t>400</w:t>
            </w:r>
          </w:p>
          <w:p w:rsidR="00601035" w:rsidRPr="008360FB" w:rsidRDefault="00601035" w:rsidP="00AB2697">
            <w:r w:rsidRPr="008360FB">
              <w:t>Food Informatics Project for Children</w:t>
            </w:r>
            <w:r w:rsidRPr="008360FB">
              <w:tab/>
            </w:r>
            <w:r w:rsidRPr="008360FB">
              <w:tab/>
            </w:r>
            <w:r w:rsidRPr="008360FB">
              <w:tab/>
              <w:t>100</w:t>
            </w:r>
          </w:p>
          <w:p w:rsidR="00601035" w:rsidRPr="008360FB" w:rsidRDefault="00601035" w:rsidP="00AB2697"/>
          <w:p w:rsidR="00601035" w:rsidRPr="008360FB" w:rsidRDefault="00601035" w:rsidP="00AB2697">
            <w:pPr>
              <w:rPr>
                <w:b/>
                <w:bCs/>
              </w:rPr>
            </w:pPr>
            <w:r w:rsidRPr="008360FB">
              <w:rPr>
                <w:b/>
                <w:bCs/>
              </w:rPr>
              <w:lastRenderedPageBreak/>
              <w:t xml:space="preserve">Total </w:t>
            </w:r>
            <w:r w:rsidRPr="008360FB">
              <w:rPr>
                <w:b/>
                <w:bCs/>
              </w:rPr>
              <w:tab/>
              <w:t xml:space="preserve">                                                                                     800</w:t>
            </w:r>
          </w:p>
          <w:p w:rsidR="00601035" w:rsidRPr="008360FB" w:rsidRDefault="00601035" w:rsidP="00AB2697">
            <w:pPr>
              <w:rPr>
                <w:b/>
                <w:bCs/>
              </w:rPr>
            </w:pPr>
          </w:p>
          <w:p w:rsidR="00601035" w:rsidRPr="008360FB" w:rsidRDefault="00601035" w:rsidP="00AB2697">
            <w:pPr>
              <w:numPr>
                <w:ilvl w:val="0"/>
                <w:numId w:val="1"/>
              </w:numPr>
            </w:pPr>
            <w:r w:rsidRPr="008360FB">
              <w:rPr>
                <w:b/>
                <w:bCs/>
                <w:u w:val="single"/>
              </w:rPr>
              <w:t>Grading Scale</w:t>
            </w:r>
            <w:r w:rsidRPr="008360FB">
              <w:rPr>
                <w:b/>
                <w:bCs/>
              </w:rPr>
              <w:t xml:space="preserve">: </w:t>
            </w:r>
            <w:r w:rsidRPr="008360FB">
              <w:t>(</w:t>
            </w:r>
            <w:r w:rsidRPr="008360FB">
              <w:rPr>
                <w:b/>
                <w:u w:val="single"/>
              </w:rPr>
              <w:t>Points will be deducted for each day an assignment is submitted late</w:t>
            </w:r>
            <w:r w:rsidRPr="008360FB">
              <w:rPr>
                <w:b/>
              </w:rPr>
              <w:t>.)</w:t>
            </w:r>
          </w:p>
        </w:tc>
      </w:tr>
      <w:tr w:rsidR="00601035" w:rsidTr="007A0241">
        <w:trPr>
          <w:trHeight w:val="735"/>
        </w:trPr>
        <w:tc>
          <w:tcPr>
            <w:tcW w:w="1995" w:type="dxa"/>
            <w:vMerge/>
          </w:tcPr>
          <w:p w:rsidR="00601035" w:rsidRDefault="00601035" w:rsidP="00C618C7">
            <w:pPr>
              <w:jc w:val="both"/>
            </w:pPr>
          </w:p>
        </w:tc>
        <w:tc>
          <w:tcPr>
            <w:tcW w:w="7275" w:type="dxa"/>
            <w:shd w:val="clear" w:color="auto" w:fill="auto"/>
          </w:tcPr>
          <w:p w:rsidR="00601035" w:rsidRPr="008360FB" w:rsidRDefault="00601035" w:rsidP="00AB2697">
            <w:pPr>
              <w:pStyle w:val="Heading1"/>
              <w:rPr>
                <w:rFonts w:ascii="Times New Roman" w:hAnsi="Times New Roman" w:cs="Times New Roman"/>
                <w:b w:val="0"/>
                <w:bCs w:val="0"/>
                <w:sz w:val="24"/>
                <w:szCs w:val="24"/>
              </w:rPr>
            </w:pPr>
            <w:r w:rsidRPr="008360FB">
              <w:rPr>
                <w:rFonts w:ascii="Times New Roman" w:hAnsi="Times New Roman" w:cs="Times New Roman"/>
                <w:b w:val="0"/>
                <w:bCs w:val="0"/>
                <w:sz w:val="24"/>
                <w:szCs w:val="24"/>
              </w:rPr>
              <w:t>A =/&gt;   90% +</w:t>
            </w:r>
            <w:r w:rsidRPr="008360FB">
              <w:rPr>
                <w:rFonts w:ascii="Times New Roman" w:hAnsi="Times New Roman" w:cs="Times New Roman"/>
                <w:b w:val="0"/>
                <w:bCs w:val="0"/>
                <w:sz w:val="24"/>
                <w:szCs w:val="24"/>
              </w:rPr>
              <w:tab/>
              <w:t xml:space="preserve"> B =   80% +</w:t>
            </w:r>
            <w:r w:rsidRPr="008360FB">
              <w:rPr>
                <w:rFonts w:ascii="Times New Roman" w:hAnsi="Times New Roman" w:cs="Times New Roman"/>
                <w:b w:val="0"/>
                <w:bCs w:val="0"/>
                <w:sz w:val="24"/>
                <w:szCs w:val="24"/>
              </w:rPr>
              <w:tab/>
            </w:r>
          </w:p>
          <w:p w:rsidR="00601035" w:rsidRPr="008360FB" w:rsidRDefault="00601035" w:rsidP="00AB2697">
            <w:pPr>
              <w:numPr>
                <w:ilvl w:val="0"/>
                <w:numId w:val="1"/>
              </w:numPr>
            </w:pPr>
            <w:r w:rsidRPr="008360FB">
              <w:rPr>
                <w:b/>
                <w:bCs/>
              </w:rPr>
              <w:t>Less than 80% will not be considered passing</w:t>
            </w:r>
          </w:p>
        </w:tc>
      </w:tr>
      <w:tr w:rsidR="00601035" w:rsidTr="007A0241">
        <w:trPr>
          <w:trHeight w:val="735"/>
        </w:trPr>
        <w:tc>
          <w:tcPr>
            <w:tcW w:w="1995" w:type="dxa"/>
            <w:vMerge/>
          </w:tcPr>
          <w:p w:rsidR="00601035" w:rsidRDefault="00601035"/>
        </w:tc>
        <w:tc>
          <w:tcPr>
            <w:tcW w:w="7275" w:type="dxa"/>
            <w:shd w:val="clear" w:color="auto" w:fill="auto"/>
          </w:tcPr>
          <w:p w:rsidR="00601035" w:rsidRPr="008360FB" w:rsidRDefault="00601035" w:rsidP="00AB2697">
            <w:pPr>
              <w:numPr>
                <w:ilvl w:val="0"/>
                <w:numId w:val="1"/>
              </w:numPr>
            </w:pPr>
            <w:r w:rsidRPr="008360FB">
              <w:rPr>
                <w:bCs/>
                <w:u w:val="single"/>
              </w:rPr>
              <w:t>Assignment Deadlines</w:t>
            </w:r>
            <w:r w:rsidRPr="008360FB">
              <w:rPr>
                <w:bCs/>
              </w:rPr>
              <w:t>:  Assignments are due on the date specified.  Points will be deducted for late assignments.  Five points will be deducted for each late day including weekends and holidays.  Assignments will not be evaluated if turned in three days after the deadline (Score of 0 recorded).</w:t>
            </w:r>
          </w:p>
          <w:p w:rsidR="00601035" w:rsidRPr="008360FB" w:rsidRDefault="00601035" w:rsidP="00AB2697">
            <w:pPr>
              <w:numPr>
                <w:ilvl w:val="0"/>
                <w:numId w:val="1"/>
              </w:numPr>
            </w:pPr>
            <w:r w:rsidRPr="008360FB">
              <w:rPr>
                <w:bCs/>
                <w:u w:val="single"/>
              </w:rPr>
              <w:t>Attendance</w:t>
            </w:r>
            <w:r w:rsidRPr="008360FB">
              <w:rPr>
                <w:b/>
                <w:bCs/>
              </w:rPr>
              <w:t xml:space="preserve">:  </w:t>
            </w:r>
            <w:r w:rsidRPr="008360FB">
              <w:rPr>
                <w:bCs/>
              </w:rPr>
              <w:t>Lectures require that all students participate in order to create an environment conducive to learning.  It is expected that the instructor will be informed of absences in advance except in emergency situations.  5 points will be deducted for absences with prior approval; 20 points for absences without prior approval.  Students are expected to have prepared for each class discussion which includes review of the case study and required readings assigned.</w:t>
            </w:r>
          </w:p>
        </w:tc>
      </w:tr>
      <w:tr w:rsidR="003252A8" w:rsidTr="007A0241">
        <w:trPr>
          <w:trHeight w:val="447"/>
        </w:trPr>
        <w:tc>
          <w:tcPr>
            <w:tcW w:w="1995" w:type="dxa"/>
            <w:vMerge w:val="restart"/>
          </w:tcPr>
          <w:p w:rsidR="003252A8" w:rsidRPr="007A5A95" w:rsidRDefault="003252A8" w:rsidP="00C618C7">
            <w:pPr>
              <w:jc w:val="both"/>
              <w:rPr>
                <w:b/>
              </w:rPr>
            </w:pPr>
            <w:r w:rsidRPr="007A5A95">
              <w:rPr>
                <w:b/>
              </w:rPr>
              <w:t xml:space="preserve">Prerequisites </w:t>
            </w:r>
          </w:p>
          <w:p w:rsidR="003252A8" w:rsidRPr="007A5A95" w:rsidRDefault="003252A8" w:rsidP="00C618C7">
            <w:pPr>
              <w:jc w:val="both"/>
              <w:rPr>
                <w:b/>
              </w:rPr>
            </w:pPr>
            <w:r w:rsidRPr="007A5A95">
              <w:rPr>
                <w:b/>
              </w:rPr>
              <w:t xml:space="preserve">and/or </w:t>
            </w:r>
          </w:p>
          <w:p w:rsidR="003252A8" w:rsidRPr="007A5A95" w:rsidRDefault="003252A8" w:rsidP="00C618C7">
            <w:pPr>
              <w:jc w:val="both"/>
              <w:rPr>
                <w:b/>
              </w:rPr>
            </w:pPr>
            <w:r w:rsidRPr="007A5A95">
              <w:rPr>
                <w:b/>
              </w:rPr>
              <w:t>Technical Requirements</w:t>
            </w:r>
          </w:p>
          <w:p w:rsidR="003252A8" w:rsidRPr="007A5A95" w:rsidRDefault="003252A8">
            <w:pPr>
              <w:jc w:val="both"/>
              <w:rPr>
                <w:b/>
              </w:rPr>
            </w:pPr>
          </w:p>
          <w:p w:rsidR="003252A8" w:rsidRDefault="003252A8">
            <w:pPr>
              <w:jc w:val="both"/>
            </w:pPr>
          </w:p>
          <w:p w:rsidR="003252A8" w:rsidRDefault="003252A8" w:rsidP="002912D7">
            <w:pPr>
              <w:jc w:val="both"/>
            </w:pPr>
          </w:p>
        </w:tc>
        <w:tc>
          <w:tcPr>
            <w:tcW w:w="7275" w:type="dxa"/>
            <w:shd w:val="clear" w:color="auto" w:fill="auto"/>
          </w:tcPr>
          <w:p w:rsidR="003252A8" w:rsidRPr="008360FB" w:rsidRDefault="00AB2697" w:rsidP="00C618C7">
            <w:pPr>
              <w:numPr>
                <w:ilvl w:val="0"/>
                <w:numId w:val="1"/>
              </w:numPr>
            </w:pPr>
            <w:r w:rsidRPr="008360FB">
              <w:t xml:space="preserve">Prior undergraduate course in Medical Nutrition Therapy and approval of instructor </w:t>
            </w:r>
          </w:p>
        </w:tc>
      </w:tr>
      <w:tr w:rsidR="003252A8" w:rsidTr="007A0241">
        <w:trPr>
          <w:trHeight w:val="1230"/>
        </w:trPr>
        <w:tc>
          <w:tcPr>
            <w:tcW w:w="1995" w:type="dxa"/>
            <w:vMerge/>
          </w:tcPr>
          <w:p w:rsidR="003252A8" w:rsidRDefault="003252A8" w:rsidP="002912D7">
            <w:pPr>
              <w:jc w:val="both"/>
            </w:pPr>
          </w:p>
        </w:tc>
        <w:tc>
          <w:tcPr>
            <w:tcW w:w="7275" w:type="dxa"/>
            <w:shd w:val="clear" w:color="auto" w:fill="auto"/>
          </w:tcPr>
          <w:p w:rsidR="006A1BDD" w:rsidRPr="008360FB" w:rsidRDefault="006A1BDD" w:rsidP="006A1BDD">
            <w:pPr>
              <w:numPr>
                <w:ilvl w:val="0"/>
                <w:numId w:val="1"/>
              </w:numPr>
            </w:pPr>
            <w:r w:rsidRPr="008360FB">
              <w:t>Students must be able to access Canvas</w:t>
            </w:r>
          </w:p>
          <w:p w:rsidR="006A1BDD" w:rsidRPr="008360FB" w:rsidRDefault="006A1BDD" w:rsidP="00447F45">
            <w:pPr>
              <w:numPr>
                <w:ilvl w:val="0"/>
                <w:numId w:val="1"/>
              </w:numPr>
            </w:pPr>
            <w:r w:rsidRPr="008360FB">
              <w:t xml:space="preserve">It is expected that you check the Canvas system regularly </w:t>
            </w:r>
            <w:hyperlink r:id="rId12" w:history="1">
              <w:r w:rsidR="00447F45" w:rsidRPr="008360FB">
                <w:rPr>
                  <w:rStyle w:val="Hyperlink"/>
                </w:rPr>
                <w:t>https://www.uth.edu/canvas/index.htm</w:t>
              </w:r>
            </w:hyperlink>
            <w:r w:rsidR="00447F45" w:rsidRPr="008360FB">
              <w:t xml:space="preserve"> </w:t>
            </w:r>
          </w:p>
        </w:tc>
      </w:tr>
      <w:tr w:rsidR="006A1BDD" w:rsidTr="007A0241">
        <w:trPr>
          <w:cantSplit/>
          <w:trHeight w:val="852"/>
        </w:trPr>
        <w:tc>
          <w:tcPr>
            <w:tcW w:w="1995" w:type="dxa"/>
            <w:vMerge w:val="restart"/>
          </w:tcPr>
          <w:p w:rsidR="006A1BDD" w:rsidRPr="007A5A95" w:rsidRDefault="006A1BDD" w:rsidP="00C618C7">
            <w:pPr>
              <w:jc w:val="both"/>
              <w:rPr>
                <w:b/>
              </w:rPr>
            </w:pPr>
            <w:r w:rsidRPr="007A5A95">
              <w:rPr>
                <w:b/>
              </w:rPr>
              <w:lastRenderedPageBreak/>
              <w:t xml:space="preserve">Policies </w:t>
            </w:r>
          </w:p>
          <w:p w:rsidR="006A1BDD" w:rsidRPr="007A5A95" w:rsidRDefault="006A1BDD" w:rsidP="00C618C7">
            <w:pPr>
              <w:jc w:val="both"/>
              <w:rPr>
                <w:b/>
              </w:rPr>
            </w:pPr>
            <w:r w:rsidRPr="007A5A95">
              <w:rPr>
                <w:b/>
              </w:rPr>
              <w:t>and Procedures</w:t>
            </w:r>
          </w:p>
        </w:tc>
        <w:tc>
          <w:tcPr>
            <w:tcW w:w="7275" w:type="dxa"/>
            <w:shd w:val="clear" w:color="auto" w:fill="auto"/>
          </w:tcPr>
          <w:p w:rsidR="006A1BDD" w:rsidRPr="008360FB" w:rsidRDefault="006A1BDD" w:rsidP="00DE4628">
            <w:pPr>
              <w:pStyle w:val="Heading3"/>
              <w:numPr>
                <w:ilvl w:val="0"/>
                <w:numId w:val="10"/>
              </w:numPr>
              <w:rPr>
                <w:rFonts w:ascii="Times New Roman" w:hAnsi="Times New Roman"/>
                <w:b w:val="0"/>
                <w:sz w:val="24"/>
                <w:szCs w:val="24"/>
              </w:rPr>
            </w:pPr>
            <w:r w:rsidRPr="008360FB">
              <w:rPr>
                <w:rFonts w:ascii="Times New Roman" w:hAnsi="Times New Roman"/>
                <w:b w:val="0"/>
                <w:iCs/>
                <w:sz w:val="24"/>
                <w:szCs w:val="24"/>
                <w:u w:val="single"/>
              </w:rPr>
              <w:t>Assignment Deadlines</w:t>
            </w:r>
            <w:r w:rsidRPr="008360FB">
              <w:rPr>
                <w:rFonts w:ascii="Times New Roman" w:hAnsi="Times New Roman"/>
                <w:b w:val="0"/>
                <w:i/>
                <w:iCs/>
                <w:sz w:val="24"/>
                <w:szCs w:val="24"/>
              </w:rPr>
              <w:t>:</w:t>
            </w:r>
            <w:r w:rsidRPr="008360FB">
              <w:rPr>
                <w:rFonts w:ascii="Times New Roman" w:hAnsi="Times New Roman"/>
                <w:b w:val="0"/>
                <w:sz w:val="24"/>
                <w:szCs w:val="24"/>
              </w:rPr>
              <w:t xml:space="preserve"> Each assignment will have a due date and the assignment is due on that date. Assignments turned in late will not be evaluated.</w:t>
            </w:r>
            <w:r w:rsidRPr="008360FB">
              <w:rPr>
                <w:rFonts w:ascii="Times New Roman" w:hAnsi="Times New Roman"/>
                <w:b w:val="0"/>
                <w:sz w:val="24"/>
                <w:szCs w:val="24"/>
              </w:rPr>
              <w:tab/>
            </w:r>
          </w:p>
          <w:p w:rsidR="006A1BDD" w:rsidRPr="008360FB" w:rsidRDefault="006A1BDD" w:rsidP="00DE4628">
            <w:pPr>
              <w:pStyle w:val="Heading3"/>
              <w:numPr>
                <w:ilvl w:val="0"/>
                <w:numId w:val="10"/>
              </w:numPr>
              <w:autoSpaceDE w:val="0"/>
              <w:autoSpaceDN w:val="0"/>
              <w:adjustRightInd w:val="0"/>
              <w:rPr>
                <w:rFonts w:ascii="Times New Roman" w:hAnsi="Times New Roman"/>
                <w:b w:val="0"/>
                <w:iCs/>
                <w:sz w:val="24"/>
                <w:szCs w:val="24"/>
                <w:u w:val="single"/>
              </w:rPr>
            </w:pPr>
            <w:r w:rsidRPr="008360FB">
              <w:rPr>
                <w:rFonts w:ascii="Times New Roman" w:hAnsi="Times New Roman"/>
                <w:b w:val="0"/>
                <w:iCs/>
                <w:sz w:val="24"/>
                <w:szCs w:val="24"/>
                <w:u w:val="single"/>
              </w:rPr>
              <w:t>Class Attendance</w:t>
            </w:r>
            <w:r w:rsidRPr="008360FB">
              <w:rPr>
                <w:rFonts w:ascii="Times New Roman" w:hAnsi="Times New Roman"/>
                <w:b w:val="0"/>
                <w:i/>
                <w:iCs/>
                <w:sz w:val="24"/>
                <w:szCs w:val="24"/>
              </w:rPr>
              <w:t xml:space="preserve">: </w:t>
            </w:r>
            <w:r w:rsidRPr="008360FB">
              <w:rPr>
                <w:rFonts w:ascii="Times New Roman" w:hAnsi="Times New Roman"/>
                <w:b w:val="0"/>
                <w:sz w:val="24"/>
                <w:szCs w:val="24"/>
              </w:rPr>
              <w:t xml:space="preserve">Students are expected to attend and participate in class regularly. It is the sum of class discussion, lecture, slides, and readings that completes the learning experience. It is the student’s responsibility to notify the professor if absent and to obtain notes from another student.  </w:t>
            </w:r>
          </w:p>
          <w:p w:rsidR="006A1BDD" w:rsidRPr="008360FB" w:rsidRDefault="006A1BDD" w:rsidP="00DE4628">
            <w:pPr>
              <w:pStyle w:val="Heading3"/>
              <w:numPr>
                <w:ilvl w:val="0"/>
                <w:numId w:val="10"/>
              </w:numPr>
              <w:rPr>
                <w:rFonts w:ascii="Times New Roman" w:hAnsi="Times New Roman"/>
                <w:b w:val="0"/>
                <w:sz w:val="24"/>
                <w:szCs w:val="24"/>
              </w:rPr>
            </w:pPr>
            <w:r w:rsidRPr="008360FB">
              <w:rPr>
                <w:rFonts w:ascii="Times New Roman" w:hAnsi="Times New Roman"/>
                <w:b w:val="0"/>
                <w:iCs/>
                <w:sz w:val="24"/>
                <w:szCs w:val="24"/>
                <w:u w:val="single"/>
              </w:rPr>
              <w:t>Written Assignment</w:t>
            </w:r>
            <w:r w:rsidRPr="008360FB">
              <w:rPr>
                <w:rFonts w:ascii="Times New Roman" w:hAnsi="Times New Roman"/>
                <w:b w:val="0"/>
                <w:i/>
                <w:iCs/>
                <w:sz w:val="24"/>
                <w:szCs w:val="24"/>
                <w:u w:val="single"/>
              </w:rPr>
              <w:t>s</w:t>
            </w:r>
            <w:r w:rsidRPr="008360FB">
              <w:rPr>
                <w:rFonts w:ascii="Times New Roman" w:hAnsi="Times New Roman"/>
                <w:b w:val="0"/>
                <w:i/>
                <w:iCs/>
                <w:sz w:val="24"/>
                <w:szCs w:val="24"/>
              </w:rPr>
              <w:t xml:space="preserve">: </w:t>
            </w:r>
            <w:r w:rsidRPr="008360FB">
              <w:rPr>
                <w:rFonts w:ascii="Times New Roman" w:hAnsi="Times New Roman"/>
                <w:b w:val="0"/>
                <w:sz w:val="24"/>
                <w:szCs w:val="24"/>
              </w:rPr>
              <w:t>Assignments will be explained online and after the first lecture. All of the assignments will also be available on Canvas. Each assignment is graded as an individual assignment and feedback provided as appropriate.  Content as well as professional presentation is considered in grading.</w:t>
            </w:r>
          </w:p>
          <w:p w:rsidR="006A1BDD" w:rsidRPr="008360FB" w:rsidRDefault="006A1BDD" w:rsidP="00DE4628">
            <w:pPr>
              <w:numPr>
                <w:ilvl w:val="0"/>
                <w:numId w:val="10"/>
              </w:numPr>
              <w:spacing w:before="240" w:after="60"/>
              <w:contextualSpacing/>
            </w:pPr>
            <w:r w:rsidRPr="008360FB">
              <w:rPr>
                <w:bCs/>
                <w:iCs/>
                <w:u w:val="single"/>
              </w:rPr>
              <w:t>Confidentiality / Integrity</w:t>
            </w:r>
            <w:r w:rsidRPr="008360FB">
              <w:rPr>
                <w:bCs/>
                <w:iCs/>
              </w:rPr>
              <w:t xml:space="preserve">: It is expected that content of tests are not shared with other students.  Individual assignments should be completed without assistance from others.  Team projects should be completed with equal effort by all members of the group. </w:t>
            </w:r>
          </w:p>
          <w:p w:rsidR="006A1BDD" w:rsidRPr="008360FB" w:rsidRDefault="006A1BDD" w:rsidP="00DE4628">
            <w:pPr>
              <w:pStyle w:val="Heading2"/>
              <w:numPr>
                <w:ilvl w:val="0"/>
                <w:numId w:val="10"/>
              </w:numPr>
              <w:contextualSpacing/>
              <w:rPr>
                <w:rFonts w:ascii="Times New Roman" w:hAnsi="Times New Roman"/>
                <w:b w:val="0"/>
                <w:i w:val="0"/>
                <w:sz w:val="24"/>
                <w:szCs w:val="24"/>
              </w:rPr>
            </w:pPr>
            <w:r w:rsidRPr="008360FB">
              <w:rPr>
                <w:rFonts w:ascii="Times New Roman" w:hAnsi="Times New Roman"/>
                <w:b w:val="0"/>
                <w:i w:val="0"/>
                <w:sz w:val="24"/>
                <w:szCs w:val="24"/>
                <w:u w:val="single"/>
              </w:rPr>
              <w:t>ADA Accommodations</w:t>
            </w:r>
            <w:r w:rsidRPr="008360FB">
              <w:rPr>
                <w:rFonts w:ascii="Times New Roman" w:hAnsi="Times New Roman"/>
                <w:b w:val="0"/>
                <w:i w:val="0"/>
                <w:sz w:val="24"/>
                <w:szCs w:val="24"/>
              </w:rPr>
              <w:t>: If you have a documented disability that will impact your work in this class, please contact the Director of Student Affairs, as soon as possible to discuss your needs. Additionally, you should notify the instructor to make appropriate arrangements.</w:t>
            </w:r>
          </w:p>
        </w:tc>
      </w:tr>
      <w:tr w:rsidR="006A1BDD" w:rsidTr="007A0241">
        <w:trPr>
          <w:cantSplit/>
          <w:trHeight w:val="420"/>
        </w:trPr>
        <w:tc>
          <w:tcPr>
            <w:tcW w:w="1995" w:type="dxa"/>
            <w:vMerge/>
          </w:tcPr>
          <w:p w:rsidR="006A1BDD" w:rsidRDefault="006A1BDD" w:rsidP="00C618C7">
            <w:pPr>
              <w:jc w:val="both"/>
            </w:pPr>
          </w:p>
        </w:tc>
        <w:tc>
          <w:tcPr>
            <w:tcW w:w="7275" w:type="dxa"/>
            <w:shd w:val="clear" w:color="auto" w:fill="auto"/>
          </w:tcPr>
          <w:p w:rsidR="006A1BDD" w:rsidRPr="008360FB" w:rsidRDefault="006A1BDD" w:rsidP="00DE4628">
            <w:pPr>
              <w:numPr>
                <w:ilvl w:val="0"/>
                <w:numId w:val="1"/>
              </w:numPr>
            </w:pPr>
            <w:bookmarkStart w:id="1" w:name="Text29"/>
            <w:r w:rsidRPr="008360FB">
              <w:rPr>
                <w:u w:val="single"/>
              </w:rPr>
              <w:t>Withdrawal date</w:t>
            </w:r>
            <w:r w:rsidRPr="008360FB">
              <w:t>:</w:t>
            </w:r>
            <w:r w:rsidRPr="008360FB">
              <w:fldChar w:fldCharType="begin">
                <w:ffData>
                  <w:name w:val="Text29"/>
                  <w:enabled/>
                  <w:calcOnExit w:val="0"/>
                  <w:textInput>
                    <w:default w:val="Withdrawal Information:"/>
                  </w:textInput>
                </w:ffData>
              </w:fldChar>
            </w:r>
            <w:r w:rsidRPr="008360FB">
              <w:instrText xml:space="preserve"> FORMTEXT </w:instrText>
            </w:r>
            <w:r w:rsidR="00971809">
              <w:fldChar w:fldCharType="separate"/>
            </w:r>
            <w:r w:rsidRPr="008360FB">
              <w:fldChar w:fldCharType="end"/>
            </w:r>
            <w:bookmarkEnd w:id="1"/>
            <w:r w:rsidRPr="008360FB">
              <w:t xml:space="preserve"> Per SPH Calendar</w:t>
            </w:r>
          </w:p>
        </w:tc>
      </w:tr>
      <w:tr w:rsidR="006A1BDD" w:rsidTr="007A0241">
        <w:trPr>
          <w:cantSplit/>
          <w:trHeight w:val="420"/>
        </w:trPr>
        <w:tc>
          <w:tcPr>
            <w:tcW w:w="1995" w:type="dxa"/>
            <w:vMerge/>
          </w:tcPr>
          <w:p w:rsidR="006A1BDD" w:rsidRDefault="006A1BDD" w:rsidP="00C618C7">
            <w:pPr>
              <w:jc w:val="both"/>
            </w:pPr>
          </w:p>
        </w:tc>
        <w:tc>
          <w:tcPr>
            <w:tcW w:w="7275" w:type="dxa"/>
            <w:shd w:val="clear" w:color="auto" w:fill="auto"/>
          </w:tcPr>
          <w:p w:rsidR="006A1BDD" w:rsidRPr="008360FB" w:rsidRDefault="006A1BDD" w:rsidP="00DE4628">
            <w:pPr>
              <w:numPr>
                <w:ilvl w:val="0"/>
                <w:numId w:val="4"/>
              </w:numPr>
              <w:rPr>
                <w:bCs/>
              </w:rPr>
            </w:pPr>
            <w:r w:rsidRPr="008360FB">
              <w:rPr>
                <w:bCs/>
                <w:u w:val="single"/>
              </w:rPr>
              <w:t>Attendance</w:t>
            </w:r>
            <w:r w:rsidRPr="008360FB">
              <w:rPr>
                <w:b/>
                <w:bCs/>
              </w:rPr>
              <w:t xml:space="preserve">:  </w:t>
            </w:r>
            <w:r w:rsidRPr="008360FB">
              <w:rPr>
                <w:bCs/>
              </w:rPr>
              <w:t>Absences will only be accepted with prior approval and for emergency situations.  5 points will be deducted for absences with prior approval; 20 points for absences without prior approval.</w:t>
            </w:r>
          </w:p>
          <w:p w:rsidR="006A1BDD" w:rsidRPr="008360FB" w:rsidRDefault="006A1BDD" w:rsidP="00DE4628">
            <w:pPr>
              <w:numPr>
                <w:ilvl w:val="0"/>
                <w:numId w:val="4"/>
              </w:numPr>
              <w:rPr>
                <w:bCs/>
              </w:rPr>
            </w:pPr>
            <w:r w:rsidRPr="008360FB">
              <w:rPr>
                <w:bCs/>
                <w:u w:val="single"/>
              </w:rPr>
              <w:t>Simulated Clinical Hours –</w:t>
            </w:r>
            <w:r w:rsidRPr="008360FB">
              <w:rPr>
                <w:bCs/>
              </w:rPr>
              <w:t xml:space="preserve"> Actual case studies will be evaluated for medical and nutritional considerations in preparation for Medical Nutrition Therapy hospital supervised practice rotations.  Hours spent preparing cases assignments should be logged on an Internship Time Log.  </w:t>
            </w:r>
          </w:p>
        </w:tc>
      </w:tr>
      <w:tr w:rsidR="006A1BDD" w:rsidTr="007A0241">
        <w:trPr>
          <w:cantSplit/>
          <w:trHeight w:val="483"/>
        </w:trPr>
        <w:tc>
          <w:tcPr>
            <w:tcW w:w="1995" w:type="dxa"/>
            <w:vMerge/>
          </w:tcPr>
          <w:p w:rsidR="006A1BDD" w:rsidRDefault="006A1BDD">
            <w:pPr>
              <w:jc w:val="both"/>
            </w:pPr>
          </w:p>
        </w:tc>
        <w:tc>
          <w:tcPr>
            <w:tcW w:w="7275" w:type="dxa"/>
            <w:shd w:val="clear" w:color="auto" w:fill="auto"/>
          </w:tcPr>
          <w:p w:rsidR="006A1BDD" w:rsidRPr="008360FB" w:rsidRDefault="00447F45" w:rsidP="00277FD8">
            <w:pPr>
              <w:numPr>
                <w:ilvl w:val="0"/>
                <w:numId w:val="1"/>
              </w:numPr>
            </w:pPr>
            <w:r w:rsidRPr="008360FB">
              <w:t>E-mail Procedures and Online Etiquette: All materials posted are considered confidential and the sole work of the authors listed.  Electronic communication should be proofed and written in a professional manner.</w:t>
            </w:r>
          </w:p>
        </w:tc>
      </w:tr>
      <w:tr w:rsidR="006A1BDD" w:rsidTr="007A0241">
        <w:trPr>
          <w:cantSplit/>
          <w:trHeight w:val="483"/>
        </w:trPr>
        <w:tc>
          <w:tcPr>
            <w:tcW w:w="1995" w:type="dxa"/>
          </w:tcPr>
          <w:p w:rsidR="006A1BDD" w:rsidRDefault="006A1BDD">
            <w:pPr>
              <w:jc w:val="both"/>
            </w:pPr>
          </w:p>
        </w:tc>
        <w:tc>
          <w:tcPr>
            <w:tcW w:w="7275" w:type="dxa"/>
            <w:shd w:val="clear" w:color="auto" w:fill="auto"/>
          </w:tcPr>
          <w:p w:rsidR="006A1BDD" w:rsidRPr="008360FB" w:rsidRDefault="006A1BDD" w:rsidP="00446C27">
            <w:pPr>
              <w:numPr>
                <w:ilvl w:val="0"/>
                <w:numId w:val="5"/>
              </w:numPr>
            </w:pPr>
            <w:r w:rsidRPr="008360FB">
              <w:t>If you have a learning disability, sensory, physical disability, or any other impairment, or if is English is your second language and you need special assistance in lecture, reading assignments, and/or testing, please let the instructor and/or teaching assistant know, so they can accommodate.  The UTSPH Assistant Dean for Students and ADA Accommodations Coordinator is Dr. Mary Ann Smith (</w:t>
            </w:r>
            <w:hyperlink r:id="rId13" w:history="1">
              <w:r w:rsidRPr="008360FB">
                <w:rPr>
                  <w:rStyle w:val="Hyperlink"/>
                </w:rPr>
                <w:t>mary.a.smith@uth.tmc.edu</w:t>
              </w:r>
            </w:hyperlink>
            <w:r w:rsidRPr="008360FB">
              <w:t xml:space="preserve">).  </w:t>
            </w:r>
          </w:p>
          <w:p w:rsidR="006A1BDD" w:rsidRPr="008360FB" w:rsidRDefault="006A1BDD" w:rsidP="00446C27">
            <w:pPr>
              <w:ind w:left="720"/>
            </w:pPr>
          </w:p>
        </w:tc>
      </w:tr>
      <w:tr w:rsidR="006A1BDD" w:rsidTr="007A0241">
        <w:trPr>
          <w:cantSplit/>
          <w:trHeight w:val="483"/>
        </w:trPr>
        <w:tc>
          <w:tcPr>
            <w:tcW w:w="1995" w:type="dxa"/>
          </w:tcPr>
          <w:p w:rsidR="006A1BDD" w:rsidRPr="002501DB" w:rsidRDefault="006A1BDD" w:rsidP="007A0241">
            <w:pPr>
              <w:jc w:val="both"/>
            </w:pPr>
            <w:r w:rsidRPr="002501DB">
              <w:rPr>
                <w:b/>
              </w:rPr>
              <w:t>Academic Honesty</w:t>
            </w:r>
          </w:p>
        </w:tc>
        <w:tc>
          <w:tcPr>
            <w:tcW w:w="7275" w:type="dxa"/>
            <w:shd w:val="clear" w:color="auto" w:fill="auto"/>
          </w:tcPr>
          <w:p w:rsidR="006A1BDD" w:rsidRPr="008360FB" w:rsidRDefault="006A1BDD" w:rsidP="007A0241">
            <w:pPr>
              <w:numPr>
                <w:ilvl w:val="0"/>
                <w:numId w:val="1"/>
              </w:numPr>
            </w:pPr>
            <w:r w:rsidRPr="008360FB">
              <w:t xml:space="preserve">Academic honesty is valued at the UTSPH. The work you submit should be your own work that represents your words and ideas. You signed a pledge at registration for SPH that said “…I pledge that I will neither give nor receive unauthorized help on any examination, paper, or assignment that requires individual responsibility.” Plagiarism is a big part of academic dishonesty and claiming ignorance of UTSPH plagiarism rules is not a viable defense. All papers, written work, exercises etc. need proper referencing of sources as befits professional work in an academic setting. Be aware that using online Internet sources without proper attribution constitutes plagiarism. Students are expected to abide by the UTSPH policies regarding academic honesty. You can review the Student Conduct and Discipline Policy in the Handbook of Operating Procedures (HOOP) at </w:t>
            </w:r>
            <w:hyperlink r:id="rId14" w:history="1">
              <w:r w:rsidRPr="008360FB">
                <w:rPr>
                  <w:rStyle w:val="Hyperlink"/>
                  <w:color w:val="16087C"/>
                </w:rPr>
                <w:t>https://www.uth.edu/hoop/policy.htm?id=1448220</w:t>
              </w:r>
            </w:hyperlink>
            <w:r w:rsidRPr="008360FB">
              <w:t>. The UTSPH policy is that intentional plagiarism or dishonesty results in suspension for one year from school and an "F" in the course or on the assignment. All suspected academic dishonesty (actual or attempted) or other violations of the student code of conduct will be immediately reported to the UTSPH Office of Academic Affairs and Student Services.</w:t>
            </w:r>
          </w:p>
        </w:tc>
      </w:tr>
    </w:tbl>
    <w:p w:rsidR="003C1021" w:rsidRDefault="003C1021" w:rsidP="003C1021">
      <w:pPr>
        <w:ind w:left="-720"/>
      </w:pPr>
    </w:p>
    <w:sectPr w:rsidR="003C1021" w:rsidSect="00587FFB">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91E" w:rsidRDefault="0080591E" w:rsidP="00D31C9C">
      <w:r>
        <w:separator/>
      </w:r>
    </w:p>
  </w:endnote>
  <w:endnote w:type="continuationSeparator" w:id="0">
    <w:p w:rsidR="0080591E" w:rsidRDefault="0080591E" w:rsidP="00D31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C9C" w:rsidRPr="006A690C" w:rsidRDefault="00D31C9C">
    <w:pPr>
      <w:pStyle w:val="Footer"/>
      <w:rPr>
        <w:lang w:val="en-US"/>
      </w:rPr>
    </w:pPr>
  </w:p>
  <w:p w:rsidR="00D31C9C" w:rsidRDefault="00D31C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91E" w:rsidRDefault="0080591E" w:rsidP="00D31C9C">
      <w:r>
        <w:separator/>
      </w:r>
    </w:p>
  </w:footnote>
  <w:footnote w:type="continuationSeparator" w:id="0">
    <w:p w:rsidR="0080591E" w:rsidRDefault="0080591E" w:rsidP="00D31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82636"/>
    <w:multiLevelType w:val="hybridMultilevel"/>
    <w:tmpl w:val="244E42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604CA5"/>
    <w:multiLevelType w:val="hybridMultilevel"/>
    <w:tmpl w:val="30CEB1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FE0120"/>
    <w:multiLevelType w:val="hybridMultilevel"/>
    <w:tmpl w:val="9B4C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63F75"/>
    <w:multiLevelType w:val="hybridMultilevel"/>
    <w:tmpl w:val="A1AE3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390991"/>
    <w:multiLevelType w:val="hybridMultilevel"/>
    <w:tmpl w:val="7B62E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4245BB"/>
    <w:multiLevelType w:val="hybridMultilevel"/>
    <w:tmpl w:val="14C88E8A"/>
    <w:lvl w:ilvl="0" w:tplc="B0645C5C">
      <w:start w:val="1"/>
      <w:numFmt w:val="decimal"/>
      <w:lvlText w:val="%1."/>
      <w:lvlJc w:val="left"/>
      <w:pPr>
        <w:ind w:left="1080" w:hanging="360"/>
      </w:pPr>
      <w:rPr>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2779B5"/>
    <w:multiLevelType w:val="hybridMultilevel"/>
    <w:tmpl w:val="CDF6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0541B7"/>
    <w:multiLevelType w:val="hybridMultilevel"/>
    <w:tmpl w:val="2EF49A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686DCE"/>
    <w:multiLevelType w:val="hybridMultilevel"/>
    <w:tmpl w:val="BE9E3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970D8B"/>
    <w:multiLevelType w:val="hybridMultilevel"/>
    <w:tmpl w:val="8E04D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30D055E"/>
    <w:multiLevelType w:val="hybridMultilevel"/>
    <w:tmpl w:val="F940C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4"/>
  </w:num>
  <w:num w:numId="5">
    <w:abstractNumId w:val="6"/>
  </w:num>
  <w:num w:numId="6">
    <w:abstractNumId w:val="5"/>
  </w:num>
  <w:num w:numId="7">
    <w:abstractNumId w:val="2"/>
  </w:num>
  <w:num w:numId="8">
    <w:abstractNumId w:val="3"/>
  </w:num>
  <w:num w:numId="9">
    <w:abstractNumId w:val="8"/>
  </w:num>
  <w:num w:numId="10">
    <w:abstractNumId w:val="10"/>
  </w:num>
  <w:num w:numId="11">
    <w:abstractNumId w:val="9"/>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6F9"/>
    <w:rsid w:val="00004095"/>
    <w:rsid w:val="00056347"/>
    <w:rsid w:val="000640D2"/>
    <w:rsid w:val="00074FD0"/>
    <w:rsid w:val="000A05C5"/>
    <w:rsid w:val="000C5043"/>
    <w:rsid w:val="000D2737"/>
    <w:rsid w:val="000E0971"/>
    <w:rsid w:val="001274F0"/>
    <w:rsid w:val="00156093"/>
    <w:rsid w:val="0016525C"/>
    <w:rsid w:val="001A49CC"/>
    <w:rsid w:val="001A5B9E"/>
    <w:rsid w:val="001A72A7"/>
    <w:rsid w:val="00215894"/>
    <w:rsid w:val="00221A60"/>
    <w:rsid w:val="00241D87"/>
    <w:rsid w:val="002501DB"/>
    <w:rsid w:val="00253DE8"/>
    <w:rsid w:val="00276DDB"/>
    <w:rsid w:val="00277FD8"/>
    <w:rsid w:val="00286C26"/>
    <w:rsid w:val="002912D7"/>
    <w:rsid w:val="002A40ED"/>
    <w:rsid w:val="002A69B0"/>
    <w:rsid w:val="002B728D"/>
    <w:rsid w:val="002F09AE"/>
    <w:rsid w:val="003035E3"/>
    <w:rsid w:val="0032416A"/>
    <w:rsid w:val="003252A8"/>
    <w:rsid w:val="00332B1A"/>
    <w:rsid w:val="00341795"/>
    <w:rsid w:val="00352151"/>
    <w:rsid w:val="00352891"/>
    <w:rsid w:val="0036227F"/>
    <w:rsid w:val="003948C0"/>
    <w:rsid w:val="003A051B"/>
    <w:rsid w:val="003C1021"/>
    <w:rsid w:val="004207CC"/>
    <w:rsid w:val="004227BB"/>
    <w:rsid w:val="00436048"/>
    <w:rsid w:val="00441315"/>
    <w:rsid w:val="00446C27"/>
    <w:rsid w:val="00447F45"/>
    <w:rsid w:val="00451010"/>
    <w:rsid w:val="00482683"/>
    <w:rsid w:val="00487B6E"/>
    <w:rsid w:val="00491719"/>
    <w:rsid w:val="004A55B9"/>
    <w:rsid w:val="004A5AAC"/>
    <w:rsid w:val="004A7FFA"/>
    <w:rsid w:val="004E26D3"/>
    <w:rsid w:val="004E4A9A"/>
    <w:rsid w:val="004F3D7C"/>
    <w:rsid w:val="00521D30"/>
    <w:rsid w:val="00523369"/>
    <w:rsid w:val="00544782"/>
    <w:rsid w:val="00547A9E"/>
    <w:rsid w:val="00575213"/>
    <w:rsid w:val="00581CE9"/>
    <w:rsid w:val="00581D3D"/>
    <w:rsid w:val="00587FFB"/>
    <w:rsid w:val="005911D4"/>
    <w:rsid w:val="005A6CF9"/>
    <w:rsid w:val="005F7E10"/>
    <w:rsid w:val="00601035"/>
    <w:rsid w:val="0061161B"/>
    <w:rsid w:val="006166B3"/>
    <w:rsid w:val="00692AD0"/>
    <w:rsid w:val="006A1BDD"/>
    <w:rsid w:val="006A2C7C"/>
    <w:rsid w:val="006A690C"/>
    <w:rsid w:val="006C12DC"/>
    <w:rsid w:val="006F4D7F"/>
    <w:rsid w:val="0071452A"/>
    <w:rsid w:val="0072169A"/>
    <w:rsid w:val="0073136C"/>
    <w:rsid w:val="00745945"/>
    <w:rsid w:val="0076490D"/>
    <w:rsid w:val="00793CE2"/>
    <w:rsid w:val="00795C86"/>
    <w:rsid w:val="007A0241"/>
    <w:rsid w:val="007A263F"/>
    <w:rsid w:val="007A5A95"/>
    <w:rsid w:val="007A6E15"/>
    <w:rsid w:val="007F3BDF"/>
    <w:rsid w:val="007F6BA8"/>
    <w:rsid w:val="00802F03"/>
    <w:rsid w:val="0080591E"/>
    <w:rsid w:val="008233BF"/>
    <w:rsid w:val="00824F7E"/>
    <w:rsid w:val="00827331"/>
    <w:rsid w:val="008360FB"/>
    <w:rsid w:val="008369E5"/>
    <w:rsid w:val="008503DC"/>
    <w:rsid w:val="0086428B"/>
    <w:rsid w:val="00891830"/>
    <w:rsid w:val="00894175"/>
    <w:rsid w:val="00894931"/>
    <w:rsid w:val="0089728B"/>
    <w:rsid w:val="008B17A8"/>
    <w:rsid w:val="00933F52"/>
    <w:rsid w:val="0094028D"/>
    <w:rsid w:val="009411D6"/>
    <w:rsid w:val="009433DB"/>
    <w:rsid w:val="009553BC"/>
    <w:rsid w:val="00960A79"/>
    <w:rsid w:val="00971809"/>
    <w:rsid w:val="00981ED8"/>
    <w:rsid w:val="009A3225"/>
    <w:rsid w:val="009C0721"/>
    <w:rsid w:val="009C250A"/>
    <w:rsid w:val="009E25D3"/>
    <w:rsid w:val="00A12152"/>
    <w:rsid w:val="00A221D4"/>
    <w:rsid w:val="00A227CB"/>
    <w:rsid w:val="00A276B3"/>
    <w:rsid w:val="00A80DE7"/>
    <w:rsid w:val="00A93C10"/>
    <w:rsid w:val="00A95551"/>
    <w:rsid w:val="00AB2697"/>
    <w:rsid w:val="00AE7D07"/>
    <w:rsid w:val="00B315E4"/>
    <w:rsid w:val="00B43D8E"/>
    <w:rsid w:val="00B53CE3"/>
    <w:rsid w:val="00B55879"/>
    <w:rsid w:val="00B606F9"/>
    <w:rsid w:val="00B615A0"/>
    <w:rsid w:val="00B64B13"/>
    <w:rsid w:val="00B67491"/>
    <w:rsid w:val="00BC6488"/>
    <w:rsid w:val="00BF1C41"/>
    <w:rsid w:val="00C03236"/>
    <w:rsid w:val="00C4155E"/>
    <w:rsid w:val="00C618C7"/>
    <w:rsid w:val="00C94DF1"/>
    <w:rsid w:val="00CA06B4"/>
    <w:rsid w:val="00CD277F"/>
    <w:rsid w:val="00D056B8"/>
    <w:rsid w:val="00D31C9C"/>
    <w:rsid w:val="00D53417"/>
    <w:rsid w:val="00D54F12"/>
    <w:rsid w:val="00D61927"/>
    <w:rsid w:val="00DA516C"/>
    <w:rsid w:val="00DE02D5"/>
    <w:rsid w:val="00DE4628"/>
    <w:rsid w:val="00E000E7"/>
    <w:rsid w:val="00E21995"/>
    <w:rsid w:val="00E86BEA"/>
    <w:rsid w:val="00EB72A1"/>
    <w:rsid w:val="00EC7E4E"/>
    <w:rsid w:val="00F00198"/>
    <w:rsid w:val="00F33E94"/>
    <w:rsid w:val="00F5275F"/>
    <w:rsid w:val="00F62680"/>
    <w:rsid w:val="00F67D5B"/>
    <w:rsid w:val="00F8178C"/>
    <w:rsid w:val="00F85A99"/>
    <w:rsid w:val="00F93CD6"/>
    <w:rsid w:val="00FA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68DCAD"/>
  <w15:docId w15:val="{340BFA11-6DC1-449E-80E4-676AC51A2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CC3"/>
    <w:rPr>
      <w:sz w:val="24"/>
      <w:szCs w:val="24"/>
    </w:rPr>
  </w:style>
  <w:style w:type="paragraph" w:styleId="Heading1">
    <w:name w:val="heading 1"/>
    <w:basedOn w:val="Normal"/>
    <w:next w:val="Normal"/>
    <w:qFormat/>
    <w:rsid w:val="00F70CC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6A1BD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AB2697"/>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70CC3"/>
    <w:pPr>
      <w:tabs>
        <w:tab w:val="center" w:pos="4320"/>
        <w:tab w:val="right" w:pos="8640"/>
      </w:tabs>
    </w:pPr>
    <w:rPr>
      <w:lang w:val="x-none" w:eastAsia="x-none"/>
    </w:rPr>
  </w:style>
  <w:style w:type="character" w:styleId="Hyperlink">
    <w:name w:val="Hyperlink"/>
    <w:rsid w:val="00F70CC3"/>
    <w:rPr>
      <w:color w:val="0000FF"/>
      <w:u w:val="single"/>
    </w:rPr>
  </w:style>
  <w:style w:type="paragraph" w:styleId="BodyText2">
    <w:name w:val="Body Text 2"/>
    <w:basedOn w:val="Normal"/>
    <w:rsid w:val="00F70CC3"/>
    <w:rPr>
      <w:sz w:val="20"/>
    </w:rPr>
  </w:style>
  <w:style w:type="paragraph" w:styleId="Header">
    <w:name w:val="header"/>
    <w:basedOn w:val="Normal"/>
    <w:link w:val="HeaderChar"/>
    <w:uiPriority w:val="99"/>
    <w:unhideWhenUsed/>
    <w:rsid w:val="00D31C9C"/>
    <w:pPr>
      <w:tabs>
        <w:tab w:val="center" w:pos="4680"/>
        <w:tab w:val="right" w:pos="9360"/>
      </w:tabs>
    </w:pPr>
    <w:rPr>
      <w:lang w:val="x-none" w:eastAsia="x-none"/>
    </w:rPr>
  </w:style>
  <w:style w:type="character" w:customStyle="1" w:styleId="HeaderChar">
    <w:name w:val="Header Char"/>
    <w:link w:val="Header"/>
    <w:uiPriority w:val="99"/>
    <w:rsid w:val="00D31C9C"/>
    <w:rPr>
      <w:sz w:val="24"/>
      <w:szCs w:val="24"/>
    </w:rPr>
  </w:style>
  <w:style w:type="character" w:customStyle="1" w:styleId="FooterChar">
    <w:name w:val="Footer Char"/>
    <w:link w:val="Footer"/>
    <w:uiPriority w:val="99"/>
    <w:rsid w:val="00D31C9C"/>
    <w:rPr>
      <w:sz w:val="24"/>
      <w:szCs w:val="24"/>
    </w:rPr>
  </w:style>
  <w:style w:type="paragraph" w:styleId="BalloonText">
    <w:name w:val="Balloon Text"/>
    <w:basedOn w:val="Normal"/>
    <w:link w:val="BalloonTextChar"/>
    <w:uiPriority w:val="99"/>
    <w:semiHidden/>
    <w:unhideWhenUsed/>
    <w:rsid w:val="00D31C9C"/>
    <w:rPr>
      <w:rFonts w:ascii="Tahoma" w:hAnsi="Tahoma"/>
      <w:sz w:val="16"/>
      <w:szCs w:val="16"/>
      <w:lang w:val="x-none" w:eastAsia="x-none"/>
    </w:rPr>
  </w:style>
  <w:style w:type="character" w:customStyle="1" w:styleId="BalloonTextChar">
    <w:name w:val="Balloon Text Char"/>
    <w:link w:val="BalloonText"/>
    <w:uiPriority w:val="99"/>
    <w:semiHidden/>
    <w:rsid w:val="00D31C9C"/>
    <w:rPr>
      <w:rFonts w:ascii="Tahoma" w:hAnsi="Tahoma" w:cs="Tahoma"/>
      <w:sz w:val="16"/>
      <w:szCs w:val="16"/>
    </w:rPr>
  </w:style>
  <w:style w:type="character" w:styleId="FollowedHyperlink">
    <w:name w:val="FollowedHyperlink"/>
    <w:uiPriority w:val="99"/>
    <w:semiHidden/>
    <w:unhideWhenUsed/>
    <w:rsid w:val="005F7E10"/>
    <w:rPr>
      <w:color w:val="954F72"/>
      <w:u w:val="single"/>
    </w:rPr>
  </w:style>
  <w:style w:type="paragraph" w:styleId="ListParagraph">
    <w:name w:val="List Paragraph"/>
    <w:basedOn w:val="Normal"/>
    <w:uiPriority w:val="34"/>
    <w:qFormat/>
    <w:rsid w:val="00AB2697"/>
    <w:pPr>
      <w:ind w:left="720"/>
    </w:pPr>
  </w:style>
  <w:style w:type="character" w:customStyle="1" w:styleId="Heading3Char">
    <w:name w:val="Heading 3 Char"/>
    <w:link w:val="Heading3"/>
    <w:uiPriority w:val="9"/>
    <w:rsid w:val="00AB2697"/>
    <w:rPr>
      <w:rFonts w:ascii="Cambria" w:hAnsi="Cambria"/>
      <w:b/>
      <w:bCs/>
      <w:sz w:val="26"/>
      <w:szCs w:val="26"/>
    </w:rPr>
  </w:style>
  <w:style w:type="character" w:customStyle="1" w:styleId="Heading2Char">
    <w:name w:val="Heading 2 Char"/>
    <w:link w:val="Heading2"/>
    <w:uiPriority w:val="9"/>
    <w:rsid w:val="006A1BDD"/>
    <w:rPr>
      <w:rFonts w:ascii="Cambria" w:hAnsi="Cambria"/>
      <w:b/>
      <w:bCs/>
      <w:i/>
      <w:iCs/>
      <w:sz w:val="28"/>
      <w:szCs w:val="28"/>
    </w:rPr>
  </w:style>
  <w:style w:type="paragraph" w:customStyle="1" w:styleId="Default">
    <w:name w:val="Default"/>
    <w:rsid w:val="006A1BD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3024">
      <w:bodyDiv w:val="1"/>
      <w:marLeft w:val="0"/>
      <w:marRight w:val="0"/>
      <w:marTop w:val="0"/>
      <w:marBottom w:val="0"/>
      <w:divBdr>
        <w:top w:val="none" w:sz="0" w:space="0" w:color="auto"/>
        <w:left w:val="none" w:sz="0" w:space="0" w:color="auto"/>
        <w:bottom w:val="none" w:sz="0" w:space="0" w:color="auto"/>
        <w:right w:val="none" w:sz="0" w:space="0" w:color="auto"/>
      </w:divBdr>
    </w:div>
    <w:div w:id="490026688">
      <w:bodyDiv w:val="1"/>
      <w:marLeft w:val="0"/>
      <w:marRight w:val="0"/>
      <w:marTop w:val="0"/>
      <w:marBottom w:val="0"/>
      <w:divBdr>
        <w:top w:val="none" w:sz="0" w:space="0" w:color="auto"/>
        <w:left w:val="none" w:sz="0" w:space="0" w:color="auto"/>
        <w:bottom w:val="none" w:sz="0" w:space="0" w:color="auto"/>
        <w:right w:val="none" w:sz="0" w:space="0" w:color="auto"/>
      </w:divBdr>
    </w:div>
    <w:div w:id="76797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s.moore@uth.tmc.edu" TargetMode="External"/><Relationship Id="rId13" Type="http://schemas.openxmlformats.org/officeDocument/2006/relationships/hyperlink" Target="mailto:mary.a.smith@uth.tmc.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th.edu/canvas/index.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tc.ucsf.edu/pdfs/FoodLists.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hannon.R.Weston@uth.tmc.edu" TargetMode="External"/><Relationship Id="rId4" Type="http://schemas.openxmlformats.org/officeDocument/2006/relationships/settings" Target="settings.xml"/><Relationship Id="rId9" Type="http://schemas.openxmlformats.org/officeDocument/2006/relationships/hyperlink" Target="mailto:Jeanne.m.pigaplunkett@uth.tmc.edu" TargetMode="External"/><Relationship Id="rId14" Type="http://schemas.openxmlformats.org/officeDocument/2006/relationships/hyperlink" Target="https://www.uth.edu/hoop/policy.htm?id=14482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anat\Desktop\SyllabusTemplate\Kedit%20Syllabus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A5682-8731-45CC-9FD3-0569E83B0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Kedit Syllabus09</Template>
  <TotalTime>0</TotalTime>
  <Pages>6</Pages>
  <Words>1527</Words>
  <Characters>9993</Characters>
  <Application>Microsoft Office Word</Application>
  <DocSecurity>0</DocSecurity>
  <Lines>83</Lines>
  <Paragraphs>22</Paragraphs>
  <ScaleCrop>false</ScaleCrop>
  <HeadingPairs>
    <vt:vector size="2" baseType="variant">
      <vt:variant>
        <vt:lpstr>Title</vt:lpstr>
      </vt:variant>
      <vt:variant>
        <vt:i4>1</vt:i4>
      </vt:variant>
    </vt:vector>
  </HeadingPairs>
  <TitlesOfParts>
    <vt:vector size="1" baseType="lpstr">
      <vt:lpstr>Syllabus Template</vt:lpstr>
    </vt:vector>
  </TitlesOfParts>
  <Company>UT School of Public Health</Company>
  <LinksUpToDate>false</LinksUpToDate>
  <CharactersWithSpaces>11498</CharactersWithSpaces>
  <SharedDoc>false</SharedDoc>
  <HLinks>
    <vt:vector size="42" baseType="variant">
      <vt:variant>
        <vt:i4>4128885</vt:i4>
      </vt:variant>
      <vt:variant>
        <vt:i4>21</vt:i4>
      </vt:variant>
      <vt:variant>
        <vt:i4>0</vt:i4>
      </vt:variant>
      <vt:variant>
        <vt:i4>5</vt:i4>
      </vt:variant>
      <vt:variant>
        <vt:lpwstr>https://www.uth.edu/hoop/policy.htm?id=1448220</vt:lpwstr>
      </vt:variant>
      <vt:variant>
        <vt:lpwstr/>
      </vt:variant>
      <vt:variant>
        <vt:i4>5832750</vt:i4>
      </vt:variant>
      <vt:variant>
        <vt:i4>18</vt:i4>
      </vt:variant>
      <vt:variant>
        <vt:i4>0</vt:i4>
      </vt:variant>
      <vt:variant>
        <vt:i4>5</vt:i4>
      </vt:variant>
      <vt:variant>
        <vt:lpwstr>mailto:mary.a.smith@uth.tmc.edu</vt:lpwstr>
      </vt:variant>
      <vt:variant>
        <vt:lpwstr/>
      </vt:variant>
      <vt:variant>
        <vt:i4>5046367</vt:i4>
      </vt:variant>
      <vt:variant>
        <vt:i4>12</vt:i4>
      </vt:variant>
      <vt:variant>
        <vt:i4>0</vt:i4>
      </vt:variant>
      <vt:variant>
        <vt:i4>5</vt:i4>
      </vt:variant>
      <vt:variant>
        <vt:lpwstr>https://www.uth.edu/canvas/index.htm</vt:lpwstr>
      </vt:variant>
      <vt:variant>
        <vt:lpwstr/>
      </vt:variant>
      <vt:variant>
        <vt:i4>2818083</vt:i4>
      </vt:variant>
      <vt:variant>
        <vt:i4>9</vt:i4>
      </vt:variant>
      <vt:variant>
        <vt:i4>0</vt:i4>
      </vt:variant>
      <vt:variant>
        <vt:i4>5</vt:i4>
      </vt:variant>
      <vt:variant>
        <vt:lpwstr>http://dtc.ucsf.edu/pdfs/FoodLists.pdf</vt:lpwstr>
      </vt:variant>
      <vt:variant>
        <vt:lpwstr/>
      </vt:variant>
      <vt:variant>
        <vt:i4>2424888</vt:i4>
      </vt:variant>
      <vt:variant>
        <vt:i4>6</vt:i4>
      </vt:variant>
      <vt:variant>
        <vt:i4>0</vt:i4>
      </vt:variant>
      <vt:variant>
        <vt:i4>5</vt:i4>
      </vt:variant>
      <vt:variant>
        <vt:lpwstr>http://www.tdctoolkit.org/</vt:lpwstr>
      </vt:variant>
      <vt:variant>
        <vt:lpwstr/>
      </vt:variant>
      <vt:variant>
        <vt:i4>393337</vt:i4>
      </vt:variant>
      <vt:variant>
        <vt:i4>3</vt:i4>
      </vt:variant>
      <vt:variant>
        <vt:i4>0</vt:i4>
      </vt:variant>
      <vt:variant>
        <vt:i4>5</vt:i4>
      </vt:variant>
      <vt:variant>
        <vt:lpwstr>mailto:Jeanne.m.pigaplunkett@uth.tmc.edu</vt:lpwstr>
      </vt:variant>
      <vt:variant>
        <vt:lpwstr/>
      </vt:variant>
      <vt:variant>
        <vt:i4>1310841</vt:i4>
      </vt:variant>
      <vt:variant>
        <vt:i4>0</vt:i4>
      </vt:variant>
      <vt:variant>
        <vt:i4>0</vt:i4>
      </vt:variant>
      <vt:variant>
        <vt:i4>5</vt:i4>
      </vt:variant>
      <vt:variant>
        <vt:lpwstr>mailto:Laura.s.moore@uth.tmc.edu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Template</dc:title>
  <dc:creator>Judith Banat</dc:creator>
  <cp:lastModifiedBy>Piga- Plunkett, Jeanne M</cp:lastModifiedBy>
  <cp:revision>2</cp:revision>
  <cp:lastPrinted>2016-04-18T18:23:00Z</cp:lastPrinted>
  <dcterms:created xsi:type="dcterms:W3CDTF">2019-09-05T14:25:00Z</dcterms:created>
  <dcterms:modified xsi:type="dcterms:W3CDTF">2019-09-05T14:25:00Z</dcterms:modified>
</cp:coreProperties>
</file>